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9639"/>
      </w:tblGrid>
      <w:tr w:rsidR="00F413A7" w:rsidRPr="00E05071" w:rsidTr="00BF7AF1"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F413A7" w:rsidRPr="00E05071" w:rsidRDefault="00F413A7" w:rsidP="0069695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05071">
              <w:rPr>
                <w:rFonts w:ascii="Arial" w:eastAsia="Arial Unicode MS" w:hAnsi="Arial" w:cs="Arial"/>
                <w:b/>
                <w:noProof/>
                <w:color w:val="000000" w:themeColor="text1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4812030</wp:posOffset>
                  </wp:positionH>
                  <wp:positionV relativeFrom="paragraph">
                    <wp:posOffset>76200</wp:posOffset>
                  </wp:positionV>
                  <wp:extent cx="1266825" cy="447675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695C" w:rsidRPr="00E05071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1X RBC Lysis Buffer</w:t>
            </w:r>
            <w:r w:rsidR="00E05071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( </w:t>
            </w:r>
            <w:r w:rsidR="00E05071" w:rsidRPr="00E05071">
              <w:rPr>
                <w:rFonts w:ascii="Arial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ACK Lysis Buffer</w:t>
            </w:r>
            <w:r w:rsidR="00E05071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)</w:t>
            </w:r>
          </w:p>
          <w:p w:rsidR="00F413A7" w:rsidRPr="00E05071" w:rsidRDefault="00E05071" w:rsidP="00E05071">
            <w:pPr>
              <w:autoSpaceDE w:val="0"/>
              <w:autoSpaceDN w:val="0"/>
              <w:adjustRightInd w:val="0"/>
              <w:ind w:firstLineChars="1112" w:firstLine="2009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E05071">
              <w:rPr>
                <w:rFonts w:ascii="Arial" w:hAnsi="Arial" w:cs="Arial"/>
                <w:b/>
                <w:kern w:val="0"/>
                <w:sz w:val="18"/>
                <w:szCs w:val="18"/>
              </w:rPr>
              <w:t>Sterile</w:t>
            </w:r>
            <w:r w:rsidRPr="00E0507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f</w:t>
            </w:r>
            <w:r w:rsidRPr="00E05071">
              <w:rPr>
                <w:rFonts w:ascii="Arial" w:hAnsi="Arial" w:cs="Arial"/>
                <w:b/>
                <w:kern w:val="0"/>
                <w:sz w:val="18"/>
                <w:szCs w:val="18"/>
              </w:rPr>
              <w:t>ilter</w:t>
            </w:r>
            <w:r w:rsidRPr="00E0507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ed </w:t>
            </w:r>
            <w:r w:rsidRPr="00E05071">
              <w:rPr>
                <w:rFonts w:ascii="Arial" w:hAnsi="Arial" w:cs="Arial"/>
                <w:b/>
                <w:kern w:val="0"/>
                <w:sz w:val="18"/>
                <w:szCs w:val="18"/>
              </w:rPr>
              <w:t>through 0.22μm membrane</w:t>
            </w:r>
          </w:p>
        </w:tc>
      </w:tr>
    </w:tbl>
    <w:p w:rsidR="00BF7AF1" w:rsidRDefault="00BF7AF1" w:rsidP="002A664E">
      <w:pPr>
        <w:spacing w:line="360" w:lineRule="auto"/>
        <w:rPr>
          <w:rFonts w:ascii="Arial" w:hAnsi="Arial" w:cs="Arial" w:hint="eastAsia"/>
          <w:kern w:val="0"/>
          <w:szCs w:val="21"/>
        </w:rPr>
      </w:pPr>
      <w:r w:rsidRPr="00E05071">
        <w:rPr>
          <w:rFonts w:ascii="Arial" w:hAnsi="Arial" w:cs="Arial"/>
          <w:b/>
          <w:bCs/>
          <w:kern w:val="0"/>
          <w:szCs w:val="21"/>
        </w:rPr>
        <w:t>Catalog Number :</w:t>
      </w:r>
      <w:r w:rsidRPr="00E05071">
        <w:rPr>
          <w:rFonts w:ascii="Arial" w:eastAsia="Arial Unicode MS" w:hAnsi="Arial" w:cs="Arial"/>
          <w:b/>
          <w:kern w:val="0"/>
          <w:szCs w:val="21"/>
        </w:rPr>
        <w:t xml:space="preserve"> </w:t>
      </w:r>
      <w:r w:rsidR="00E05071" w:rsidRPr="00E05071">
        <w:rPr>
          <w:rFonts w:ascii="Arial" w:hAnsi="Arial" w:cs="Arial"/>
          <w:kern w:val="0"/>
          <w:szCs w:val="21"/>
        </w:rPr>
        <w:t>MA4390</w:t>
      </w:r>
      <w:r w:rsidRPr="00E05071">
        <w:rPr>
          <w:rFonts w:ascii="Arial" w:hAnsi="Arial" w:cs="Arial"/>
          <w:kern w:val="0"/>
          <w:szCs w:val="21"/>
        </w:rPr>
        <w:t>-1</w:t>
      </w:r>
      <w:r w:rsidR="00E05071" w:rsidRPr="00E05071">
        <w:rPr>
          <w:rFonts w:ascii="Arial" w:hAnsi="Arial" w:cs="Arial"/>
          <w:kern w:val="0"/>
          <w:szCs w:val="21"/>
        </w:rPr>
        <w:t>00</w:t>
      </w:r>
      <w:r w:rsidRPr="00E05071">
        <w:rPr>
          <w:rFonts w:ascii="Arial" w:hAnsi="Arial" w:cs="Arial"/>
          <w:kern w:val="0"/>
          <w:szCs w:val="21"/>
        </w:rPr>
        <w:t>ML</w:t>
      </w:r>
    </w:p>
    <w:p w:rsidR="002A664E" w:rsidRPr="002A664E" w:rsidRDefault="002A664E" w:rsidP="002A664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2A664E">
        <w:rPr>
          <w:rFonts w:ascii="Arial" w:hAnsi="Arial" w:cs="Arial"/>
          <w:b/>
          <w:bCs/>
          <w:kern w:val="0"/>
          <w:szCs w:val="21"/>
        </w:rPr>
        <w:t xml:space="preserve">Batch Code: </w:t>
      </w:r>
      <w:r w:rsidRPr="002A664E">
        <w:rPr>
          <w:rFonts w:ascii="Arial" w:hAnsi="Arial" w:cs="Arial"/>
          <w:kern w:val="0"/>
          <w:szCs w:val="21"/>
        </w:rPr>
        <w:t>Refer to Vial</w:t>
      </w:r>
    </w:p>
    <w:p w:rsidR="002A664E" w:rsidRPr="002A664E" w:rsidRDefault="002A664E" w:rsidP="002A664E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2A664E">
        <w:rPr>
          <w:rFonts w:ascii="Arial" w:hAnsi="Arial" w:cs="Arial"/>
          <w:b/>
          <w:bCs/>
          <w:kern w:val="0"/>
          <w:szCs w:val="21"/>
        </w:rPr>
        <w:t xml:space="preserve">Use By: </w:t>
      </w:r>
      <w:r w:rsidRPr="002A664E">
        <w:rPr>
          <w:rFonts w:ascii="Arial" w:hAnsi="Arial" w:cs="Arial"/>
          <w:kern w:val="0"/>
          <w:szCs w:val="21"/>
        </w:rPr>
        <w:t>Refer to Vial</w:t>
      </w:r>
    </w:p>
    <w:p w:rsidR="002A664E" w:rsidRPr="002A664E" w:rsidRDefault="002A664E" w:rsidP="00E030A8">
      <w:pPr>
        <w:spacing w:line="360" w:lineRule="auto"/>
        <w:rPr>
          <w:rFonts w:ascii="Arial" w:hAnsi="Arial" w:cs="Arial"/>
          <w:szCs w:val="21"/>
          <w:u w:val="single"/>
        </w:rPr>
      </w:pPr>
    </w:p>
    <w:p w:rsidR="00E05071" w:rsidRPr="00E05071" w:rsidRDefault="002A664E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3pt;margin-top:22.8pt;width:480.75pt;height:0;z-index:251660288" o:connectortype="straight" strokeweight="1.5pt"/>
        </w:pict>
      </w:r>
      <w:r w:rsidR="00E05071" w:rsidRPr="00E05071">
        <w:rPr>
          <w:rFonts w:ascii="Arial" w:hAnsi="Arial" w:cs="Arial"/>
          <w:b/>
          <w:bCs/>
          <w:kern w:val="0"/>
          <w:szCs w:val="21"/>
        </w:rPr>
        <w:t>Description</w:t>
      </w:r>
    </w:p>
    <w:p w:rsidR="00DF783D" w:rsidRPr="00E05071" w:rsidRDefault="00E05071" w:rsidP="00DF783D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 xml:space="preserve">The </w:t>
      </w:r>
      <w:r w:rsidR="00DF783D">
        <w:rPr>
          <w:rFonts w:ascii="Arial" w:hAnsi="Arial" w:cs="Arial" w:hint="eastAsia"/>
          <w:kern w:val="0"/>
          <w:szCs w:val="21"/>
        </w:rPr>
        <w:t>MesGen</w:t>
      </w:r>
      <w:r w:rsidRPr="00E05071">
        <w:rPr>
          <w:rFonts w:ascii="Arial" w:hAnsi="Arial" w:cs="Arial"/>
          <w:kern w:val="0"/>
          <w:szCs w:val="21"/>
        </w:rPr>
        <w:t xml:space="preserve"> 1X Red Blood Cell Lysis Buffer is formulated for optimal lysis of erythrocytes in single-cell suspensions of mouse</w:t>
      </w:r>
      <w:r w:rsidR="00DF783D">
        <w:rPr>
          <w:rFonts w:ascii="Arial" w:hAnsi="Arial" w:cs="Arial" w:hint="eastAsia"/>
          <w:kern w:val="0"/>
          <w:szCs w:val="21"/>
        </w:rPr>
        <w:t xml:space="preserve"> </w:t>
      </w:r>
      <w:r w:rsidRPr="00E05071">
        <w:rPr>
          <w:rFonts w:ascii="Arial" w:hAnsi="Arial" w:cs="Arial"/>
          <w:kern w:val="0"/>
          <w:szCs w:val="21"/>
        </w:rPr>
        <w:t>hematopoietic tissues such as spleen and human peripheral blood. This buffer contains ammonium chloride, which lyses red cells with</w:t>
      </w:r>
      <w:r w:rsidR="00DF783D">
        <w:rPr>
          <w:rFonts w:ascii="Arial" w:hAnsi="Arial" w:cs="Arial" w:hint="eastAsia"/>
          <w:kern w:val="0"/>
          <w:szCs w:val="21"/>
        </w:rPr>
        <w:t xml:space="preserve"> </w:t>
      </w:r>
      <w:r w:rsidRPr="00E05071">
        <w:rPr>
          <w:rFonts w:ascii="Arial" w:hAnsi="Arial" w:cs="Arial"/>
          <w:kern w:val="0"/>
          <w:szCs w:val="21"/>
        </w:rPr>
        <w:t>minimal effect on lymphocytes when used as instructed. Nucleated red cells are not effectively lysed with ammonium chloride. RBC lysis is not</w:t>
      </w:r>
      <w:r w:rsidR="00DF783D">
        <w:rPr>
          <w:rFonts w:ascii="Arial" w:hAnsi="Arial" w:cs="Arial" w:hint="eastAsia"/>
          <w:kern w:val="0"/>
          <w:szCs w:val="21"/>
        </w:rPr>
        <w:t xml:space="preserve"> </w:t>
      </w:r>
      <w:r w:rsidRPr="00E05071">
        <w:rPr>
          <w:rFonts w:ascii="Arial" w:hAnsi="Arial" w:cs="Arial"/>
          <w:kern w:val="0"/>
          <w:szCs w:val="21"/>
        </w:rPr>
        <w:t>necessary when working with mouse thymus and lymph nodes</w:t>
      </w:r>
      <w:r w:rsidR="00DF783D">
        <w:rPr>
          <w:rFonts w:ascii="Arial" w:hAnsi="Arial" w:cs="Arial" w:hint="eastAsia"/>
          <w:kern w:val="0"/>
          <w:szCs w:val="21"/>
        </w:rPr>
        <w:t>.</w:t>
      </w:r>
    </w:p>
    <w:p w:rsidR="00E05071" w:rsidRPr="00E05071" w:rsidRDefault="002A664E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w:pict>
          <v:shape id="_x0000_s2051" type="#_x0000_t32" style="position:absolute;margin-left:.3pt;margin-top:21.9pt;width:480.75pt;height:0;z-index:251661312" o:connectortype="straight" strokeweight="1.5pt"/>
        </w:pict>
      </w:r>
      <w:r w:rsidR="00E05071" w:rsidRPr="00E05071">
        <w:rPr>
          <w:rFonts w:ascii="Arial" w:hAnsi="Arial" w:cs="Arial"/>
          <w:b/>
          <w:bCs/>
          <w:kern w:val="0"/>
          <w:szCs w:val="21"/>
        </w:rPr>
        <w:t>Applications Reported</w:t>
      </w:r>
    </w:p>
    <w:p w:rsidR="00E05071" w:rsidRPr="00E05071" w:rsidRDefault="00E05071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 w:rsidRPr="00E05071">
        <w:rPr>
          <w:rFonts w:ascii="Arial" w:hAnsi="Arial" w:cs="Arial"/>
          <w:b/>
          <w:bCs/>
          <w:kern w:val="0"/>
          <w:szCs w:val="21"/>
        </w:rPr>
        <w:t>Lysis of mouse splenocytes: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1. Harvest mouse spleen and prepare a single cell suspension.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2. Pellet the cells by centrifugation (300-400xg) at 4°C and aspirate the supernatant.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3. Resuspend the pellet in 5 mL/spleen of Lysis Buffer.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4. Incubate at room temperature for 4-5 minutes with occasional shaking (we have performed this step on ice successfully, too).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5. Stop the reaction by diluting the Lysis Buffer with 20-30 mL of 1X PBS.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6. Spin the cells (300-400 x g) at 4°C and resuspend the pellet in the appropriate buffer for use in the next step of your experimental procedure.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7. Perform a cell count at this time.</w:t>
      </w:r>
    </w:p>
    <w:p w:rsidR="00E05071" w:rsidRPr="002A664E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kern w:val="0"/>
          <w:sz w:val="18"/>
          <w:szCs w:val="18"/>
        </w:rPr>
      </w:pPr>
      <w:r w:rsidRPr="002A664E">
        <w:rPr>
          <w:rFonts w:ascii="Arial" w:hAnsi="Arial" w:cs="Arial"/>
          <w:i/>
          <w:kern w:val="0"/>
          <w:sz w:val="18"/>
          <w:szCs w:val="18"/>
        </w:rPr>
        <w:t>Note: In general a small number of residual red cells does not interfere with the proliferation assays and can be gated out from flow cytometric</w:t>
      </w:r>
      <w:r w:rsidR="002A664E" w:rsidRPr="002A664E">
        <w:rPr>
          <w:rFonts w:ascii="Arial" w:hAnsi="Arial" w:cs="Arial" w:hint="eastAsia"/>
          <w:i/>
          <w:kern w:val="0"/>
          <w:sz w:val="18"/>
          <w:szCs w:val="18"/>
        </w:rPr>
        <w:t xml:space="preserve"> </w:t>
      </w:r>
      <w:r w:rsidRPr="002A664E">
        <w:rPr>
          <w:rFonts w:ascii="Arial" w:hAnsi="Arial" w:cs="Arial"/>
          <w:i/>
          <w:kern w:val="0"/>
          <w:sz w:val="18"/>
          <w:szCs w:val="18"/>
        </w:rPr>
        <w:t>analysis. However, if required, a second round of lysis can be performed.</w:t>
      </w:r>
    </w:p>
    <w:p w:rsidR="00E05071" w:rsidRPr="00E05071" w:rsidRDefault="00E05071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 w:rsidRPr="00E05071">
        <w:rPr>
          <w:rFonts w:ascii="Arial" w:hAnsi="Arial" w:cs="Arial"/>
          <w:b/>
          <w:bCs/>
          <w:kern w:val="0"/>
          <w:szCs w:val="21"/>
        </w:rPr>
        <w:t>Lysis of mouse blood: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1. Add 10 mL of RBC lysis buffer per 1 mL of mouse blood.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2. Incubate at room temperature for 4-5 minutes with occasional shaking (we have performed this step on ice successfully, too).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3. Stop the reaction by diluting the Lysis Buffer with 20-30 mL of 1X PBS.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lastRenderedPageBreak/>
        <w:t>4. Spin the cells (300-400 x g) at 4°C and resuspend the pellet in the appropriate buffer for use in the next step of your experimental procedure.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5. Perform a cell count at this time.</w:t>
      </w:r>
    </w:p>
    <w:p w:rsidR="00E05071" w:rsidRPr="002A664E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18"/>
          <w:szCs w:val="18"/>
        </w:rPr>
      </w:pPr>
      <w:r w:rsidRPr="002A664E">
        <w:rPr>
          <w:rFonts w:ascii="Arial" w:hAnsi="Arial" w:cs="Arial"/>
          <w:kern w:val="0"/>
          <w:sz w:val="18"/>
          <w:szCs w:val="18"/>
        </w:rPr>
        <w:t>Note: In general a small number of residual red cells does not interfere with the proliferation assays and can be gated out from flow cytometric</w:t>
      </w:r>
      <w:r w:rsidR="002A664E" w:rsidRPr="002A664E">
        <w:rPr>
          <w:rFonts w:ascii="Arial" w:hAnsi="Arial" w:cs="Arial" w:hint="eastAsia"/>
          <w:kern w:val="0"/>
          <w:sz w:val="18"/>
          <w:szCs w:val="18"/>
        </w:rPr>
        <w:t xml:space="preserve"> </w:t>
      </w:r>
      <w:r w:rsidRPr="002A664E">
        <w:rPr>
          <w:rFonts w:ascii="Arial" w:hAnsi="Arial" w:cs="Arial"/>
          <w:kern w:val="0"/>
          <w:sz w:val="18"/>
          <w:szCs w:val="18"/>
        </w:rPr>
        <w:t>analysis. However, if required, a second round of lysis can be performed.</w:t>
      </w:r>
    </w:p>
    <w:p w:rsidR="00E05071" w:rsidRPr="00E05071" w:rsidRDefault="00E05071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 w:rsidRPr="00E05071">
        <w:rPr>
          <w:rFonts w:ascii="Arial" w:hAnsi="Arial" w:cs="Arial"/>
          <w:b/>
          <w:bCs/>
          <w:kern w:val="0"/>
          <w:szCs w:val="21"/>
        </w:rPr>
        <w:t>Lysis of human blood for flow cytometric analysis:</w:t>
      </w:r>
    </w:p>
    <w:p w:rsidR="00E05071" w:rsidRPr="00E05071" w:rsidRDefault="00E05071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When using human peripheral blood for flow cytometric analysis, the necessary red cell lysing step is incorporated into the staining protocol.Refer to Best Protocols for the staining protocol.</w:t>
      </w:r>
    </w:p>
    <w:p w:rsidR="00E05071" w:rsidRPr="00E05071" w:rsidRDefault="00E05071" w:rsidP="00E05071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Cs w:val="21"/>
        </w:rPr>
      </w:pPr>
      <w:r w:rsidRPr="00E05071">
        <w:rPr>
          <w:rFonts w:ascii="Arial" w:hAnsi="Arial" w:cs="Arial"/>
          <w:b/>
          <w:bCs/>
          <w:kern w:val="0"/>
          <w:szCs w:val="21"/>
        </w:rPr>
        <w:t>Lysis of total human peripheral blood: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1. Add 10 mL of lysis buffer per 1 mL of human blood.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2. Incubate for 10 minutes at room temperature (no more than 15 minutes).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3. Stop the reaction by diluting the Lysis Buffer with 20-30 mL of 1X PBS.</w:t>
      </w:r>
    </w:p>
    <w:p w:rsidR="00E05071" w:rsidRPr="00E05071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E05071">
        <w:rPr>
          <w:rFonts w:ascii="Arial" w:hAnsi="Arial" w:cs="Arial"/>
          <w:kern w:val="0"/>
          <w:szCs w:val="21"/>
        </w:rPr>
        <w:t>4. Spin the cells (300-400 x g) at 4°C and resuspend the pellet in the appropriate buffer for use in the next step of your experimental procedure.</w:t>
      </w:r>
    </w:p>
    <w:p w:rsidR="00E05071" w:rsidRPr="002A664E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  <w:r w:rsidRPr="002A664E">
        <w:rPr>
          <w:rFonts w:ascii="Arial" w:hAnsi="Arial" w:cs="Arial"/>
          <w:kern w:val="0"/>
          <w:szCs w:val="21"/>
        </w:rPr>
        <w:t>5. Perform a cell count at this time.</w:t>
      </w:r>
    </w:p>
    <w:p w:rsidR="00E05071" w:rsidRPr="002A664E" w:rsidRDefault="00E05071" w:rsidP="002A664E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18"/>
          <w:szCs w:val="18"/>
        </w:rPr>
      </w:pPr>
      <w:r w:rsidRPr="002A664E">
        <w:rPr>
          <w:rFonts w:ascii="Arial" w:hAnsi="Arial" w:cs="Arial"/>
          <w:kern w:val="0"/>
          <w:sz w:val="18"/>
          <w:szCs w:val="18"/>
        </w:rPr>
        <w:t>Note: In general a small number of residual red cells does not interfere with the proliferation assays and can be gated out from flow cytometric</w:t>
      </w:r>
      <w:r w:rsidR="002A664E" w:rsidRPr="002A664E">
        <w:rPr>
          <w:rFonts w:ascii="Arial" w:hAnsi="Arial" w:cs="Arial" w:hint="eastAsia"/>
          <w:kern w:val="0"/>
          <w:sz w:val="18"/>
          <w:szCs w:val="18"/>
        </w:rPr>
        <w:t xml:space="preserve"> </w:t>
      </w:r>
      <w:r w:rsidRPr="002A664E">
        <w:rPr>
          <w:rFonts w:ascii="Arial" w:hAnsi="Arial" w:cs="Arial"/>
          <w:kern w:val="0"/>
          <w:sz w:val="18"/>
          <w:szCs w:val="18"/>
        </w:rPr>
        <w:t>analysis. However, if required, a second round of lysis can be performed.</w:t>
      </w:r>
    </w:p>
    <w:p w:rsidR="00E05071" w:rsidRPr="00E05071" w:rsidRDefault="00E05071" w:rsidP="00E05071">
      <w:pPr>
        <w:spacing w:line="360" w:lineRule="auto"/>
        <w:rPr>
          <w:rFonts w:ascii="Arial Narrow" w:hAnsi="Arial Narrow"/>
          <w:b/>
        </w:rPr>
      </w:pPr>
    </w:p>
    <w:p w:rsidR="00E05071" w:rsidRPr="002A664E" w:rsidRDefault="00E05071" w:rsidP="00E0507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2A664E">
        <w:rPr>
          <w:rFonts w:ascii="Arial" w:hAnsi="Arial" w:cs="Arial"/>
          <w:b/>
          <w:bCs/>
          <w:kern w:val="0"/>
          <w:szCs w:val="21"/>
        </w:rPr>
        <w:t xml:space="preserve">Temperature Limitation: </w:t>
      </w:r>
    </w:p>
    <w:p w:rsidR="00E05071" w:rsidRPr="00E05071" w:rsidRDefault="002A664E" w:rsidP="00E05071">
      <w:pPr>
        <w:spacing w:line="360" w:lineRule="auto"/>
        <w:rPr>
          <w:rFonts w:ascii="Arial Narrow" w:hAnsi="Arial Narrow" w:cs="ArialMT"/>
          <w:b/>
          <w:kern w:val="0"/>
          <w:szCs w:val="21"/>
        </w:rPr>
      </w:pPr>
      <w:r w:rsidRPr="002A664E">
        <w:rPr>
          <w:rFonts w:ascii="Arial" w:hAnsi="Arial" w:cs="Arial"/>
          <w:kern w:val="0"/>
          <w:szCs w:val="21"/>
        </w:rPr>
        <w:t xml:space="preserve">Store at 2-8°C. Use within </w:t>
      </w:r>
      <w:r>
        <w:rPr>
          <w:rFonts w:ascii="Arial" w:hAnsi="Arial" w:cs="Arial" w:hint="eastAsia"/>
          <w:kern w:val="0"/>
          <w:szCs w:val="21"/>
        </w:rPr>
        <w:t>12</w:t>
      </w:r>
      <w:r w:rsidRPr="002A664E">
        <w:rPr>
          <w:rFonts w:ascii="Arial" w:hAnsi="Arial" w:cs="Arial"/>
          <w:kern w:val="0"/>
          <w:szCs w:val="21"/>
        </w:rPr>
        <w:t xml:space="preserve"> months of</w:t>
      </w:r>
      <w:r>
        <w:rPr>
          <w:rFonts w:ascii="Arial" w:hAnsi="Arial" w:cs="Arial" w:hint="eastAsia"/>
          <w:kern w:val="0"/>
          <w:szCs w:val="21"/>
        </w:rPr>
        <w:t xml:space="preserve"> </w:t>
      </w:r>
      <w:r w:rsidRPr="002A664E">
        <w:rPr>
          <w:rFonts w:ascii="Arial" w:hAnsi="Arial" w:cs="Arial"/>
          <w:kern w:val="0"/>
          <w:szCs w:val="21"/>
        </w:rPr>
        <w:t>receipt.</w:t>
      </w:r>
      <w:r>
        <w:rPr>
          <w:rFonts w:ascii="Arial" w:hAnsi="Arial" w:cs="Arial"/>
          <w:noProof/>
          <w:kern w:val="0"/>
          <w:szCs w:val="21"/>
        </w:rPr>
        <w:pict>
          <v:shape id="_x0000_s2053" type="#_x0000_t32" style="position:absolute;left:0;text-align:left;margin-left:.3pt;margin-top:2.4pt;width:480.75pt;height:0;z-index:251663360;mso-position-horizontal-relative:text;mso-position-vertical-relative:text" o:connectortype="straight" strokeweight="1.5pt"/>
        </w:pict>
      </w:r>
    </w:p>
    <w:p w:rsidR="001A1284" w:rsidRPr="002A664E" w:rsidRDefault="001A1284" w:rsidP="00BF7AF1">
      <w:pPr>
        <w:spacing w:line="360" w:lineRule="auto"/>
        <w:rPr>
          <w:rFonts w:ascii="Arial Narrow" w:hAnsi="Arial Narrow" w:cs="ArialMT" w:hint="eastAsia"/>
          <w:b/>
          <w:kern w:val="0"/>
          <w:szCs w:val="21"/>
        </w:rPr>
      </w:pPr>
    </w:p>
    <w:p w:rsidR="002A664E" w:rsidRDefault="002A664E" w:rsidP="00BF7AF1">
      <w:pPr>
        <w:spacing w:line="360" w:lineRule="auto"/>
        <w:rPr>
          <w:rFonts w:ascii="Arial Narrow" w:hAnsi="Arial Narrow" w:cs="ArialMT" w:hint="eastAsia"/>
          <w:b/>
          <w:kern w:val="0"/>
          <w:szCs w:val="21"/>
        </w:rPr>
      </w:pPr>
    </w:p>
    <w:p w:rsidR="002A664E" w:rsidRDefault="002A664E" w:rsidP="00BF7AF1">
      <w:pPr>
        <w:spacing w:line="360" w:lineRule="auto"/>
        <w:rPr>
          <w:rFonts w:ascii="Arial Narrow" w:hAnsi="Arial Narrow" w:cs="ArialMT" w:hint="eastAsia"/>
          <w:b/>
          <w:kern w:val="0"/>
          <w:szCs w:val="21"/>
        </w:rPr>
      </w:pPr>
    </w:p>
    <w:p w:rsidR="002A664E" w:rsidRDefault="002A664E" w:rsidP="00BF7AF1">
      <w:pPr>
        <w:spacing w:line="360" w:lineRule="auto"/>
        <w:rPr>
          <w:rFonts w:ascii="Arial Narrow" w:hAnsi="Arial Narrow" w:cs="ArialMT" w:hint="eastAsia"/>
          <w:b/>
          <w:kern w:val="0"/>
          <w:szCs w:val="21"/>
        </w:rPr>
      </w:pPr>
    </w:p>
    <w:p w:rsidR="002A664E" w:rsidRPr="00E05071" w:rsidRDefault="002A664E" w:rsidP="00BF7AF1">
      <w:pPr>
        <w:spacing w:line="360" w:lineRule="auto"/>
        <w:rPr>
          <w:rFonts w:ascii="Arial Narrow" w:hAnsi="Arial Narrow" w:cs="ArialMT"/>
          <w:b/>
          <w:kern w:val="0"/>
          <w:szCs w:val="21"/>
        </w:rPr>
      </w:pPr>
    </w:p>
    <w:p w:rsidR="001A1284" w:rsidRPr="00E05071" w:rsidRDefault="001A1284" w:rsidP="00BF7AF1">
      <w:pPr>
        <w:spacing w:line="360" w:lineRule="auto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6120130" cy="8594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71" w:rsidRPr="00E05071" w:rsidRDefault="00E05071" w:rsidP="00E05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Laboratory Use</w:t>
      </w:r>
    </w:p>
    <w:p w:rsidR="001A1284" w:rsidRPr="00E05071" w:rsidRDefault="001A1284" w:rsidP="0051189D">
      <w:pPr>
        <w:autoSpaceDE w:val="0"/>
        <w:autoSpaceDN w:val="0"/>
        <w:adjustRightInd w:val="0"/>
        <w:spacing w:beforeLines="50" w:line="360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1A1284" w:rsidRPr="00E05071" w:rsidSect="002A6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1E" w:rsidRDefault="0012551E" w:rsidP="00EF68C2">
      <w:r>
        <w:separator/>
      </w:r>
    </w:p>
  </w:endnote>
  <w:endnote w:type="continuationSeparator" w:id="0">
    <w:p w:rsidR="0012551E" w:rsidRDefault="0012551E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1E" w:rsidRDefault="0012551E" w:rsidP="00EF68C2">
      <w:r>
        <w:separator/>
      </w:r>
    </w:p>
  </w:footnote>
  <w:footnote w:type="continuationSeparator" w:id="0">
    <w:p w:rsidR="0012551E" w:rsidRDefault="0012551E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12551E"/>
    <w:rsid w:val="001958C9"/>
    <w:rsid w:val="001A0879"/>
    <w:rsid w:val="001A1284"/>
    <w:rsid w:val="001C1AA3"/>
    <w:rsid w:val="00211544"/>
    <w:rsid w:val="00242F09"/>
    <w:rsid w:val="002A664E"/>
    <w:rsid w:val="003B52B1"/>
    <w:rsid w:val="00425D06"/>
    <w:rsid w:val="004F7B82"/>
    <w:rsid w:val="0051189D"/>
    <w:rsid w:val="005C32CD"/>
    <w:rsid w:val="0069695C"/>
    <w:rsid w:val="007A01BD"/>
    <w:rsid w:val="008540A5"/>
    <w:rsid w:val="0088445D"/>
    <w:rsid w:val="008A3E12"/>
    <w:rsid w:val="008F0A47"/>
    <w:rsid w:val="008F4061"/>
    <w:rsid w:val="00A43BD1"/>
    <w:rsid w:val="00B037F2"/>
    <w:rsid w:val="00B31B86"/>
    <w:rsid w:val="00BA1787"/>
    <w:rsid w:val="00BF7AF1"/>
    <w:rsid w:val="00CB18B6"/>
    <w:rsid w:val="00D016F2"/>
    <w:rsid w:val="00D85BBC"/>
    <w:rsid w:val="00DF783D"/>
    <w:rsid w:val="00E030A8"/>
    <w:rsid w:val="00E05071"/>
    <w:rsid w:val="00E76797"/>
    <w:rsid w:val="00ED114C"/>
    <w:rsid w:val="00EF34B0"/>
    <w:rsid w:val="00EF68C2"/>
    <w:rsid w:val="00F413A7"/>
    <w:rsid w:val="00F87315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0"/>
        <o:r id="V:Rule3" type="connector" idref="#_x0000_s2051"/>
        <o:r id="V:Rule5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036F-06E6-4063-9F4F-EE5C237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12</cp:revision>
  <cp:lastPrinted>2014-03-14T13:59:00Z</cp:lastPrinted>
  <dcterms:created xsi:type="dcterms:W3CDTF">2014-02-18T06:53:00Z</dcterms:created>
  <dcterms:modified xsi:type="dcterms:W3CDTF">2015-04-15T13:25:00Z</dcterms:modified>
</cp:coreProperties>
</file>