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/>
      </w:tblPr>
      <w:tblGrid>
        <w:gridCol w:w="5281"/>
      </w:tblGrid>
      <w:tr w:rsidR="00F413A7" w:rsidTr="0071109A">
        <w:trPr>
          <w:trHeight w:val="963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9C0863" w:rsidRDefault="00B74C16" w:rsidP="00031518">
            <w:pPr>
              <w:pStyle w:val="Pa0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 w:hint="eastAsia"/>
                <w:b/>
                <w:bCs/>
                <w:color w:val="000000"/>
                <w:sz w:val="32"/>
                <w:szCs w:val="32"/>
              </w:rPr>
              <w:t>Mes</w:t>
            </w:r>
            <w:r w:rsidR="00031518" w:rsidRPr="009C0863">
              <w:rPr>
                <w:rFonts w:ascii="Arial Narrow" w:hAnsi="Arial Narrow" w:cs="Arial Narrow" w:hint="eastAsia"/>
                <w:b/>
                <w:bCs/>
                <w:color w:val="000000"/>
                <w:sz w:val="32"/>
                <w:szCs w:val="32"/>
              </w:rPr>
              <w:t>Red Nucleic Acid Gel S</w:t>
            </w:r>
            <w:r w:rsidR="006A3F79" w:rsidRPr="003431B7">
              <w:rPr>
                <w:rFonts w:ascii="Arial Narrow" w:hAnsi="Arial Narrow" w:cs="Arial Narrow" w:hint="eastAsia"/>
                <w:b/>
                <w:bCs/>
                <w:color w:val="000000"/>
                <w:sz w:val="32"/>
                <w:szCs w:val="32"/>
              </w:rPr>
              <w:t>tain</w:t>
            </w:r>
          </w:p>
          <w:p w:rsidR="00F413A7" w:rsidRPr="009C0863" w:rsidRDefault="009C0863" w:rsidP="00031518">
            <w:pPr>
              <w:pStyle w:val="Pa0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2228850</wp:posOffset>
                  </wp:positionH>
                  <wp:positionV relativeFrom="paragraph">
                    <wp:posOffset>5715</wp:posOffset>
                  </wp:positionV>
                  <wp:extent cx="1057275" cy="371475"/>
                  <wp:effectExtent l="19050" t="0" r="0" b="0"/>
                  <wp:wrapNone/>
                  <wp:docPr id="2" name="图片 0" descr="MES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GEN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31518" w:rsidRPr="009C0863"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  <w:t>10,000X in Water</w:t>
            </w:r>
          </w:p>
        </w:tc>
      </w:tr>
    </w:tbl>
    <w:p w:rsidR="00BF7AF1" w:rsidRPr="00031518" w:rsidRDefault="00BF7AF1" w:rsidP="00B74C16">
      <w:pPr>
        <w:spacing w:beforeLines="50"/>
        <w:rPr>
          <w:rFonts w:ascii="Arial Narrow" w:hAnsi="Arial Narrow" w:cs="ArialMT"/>
          <w:kern w:val="0"/>
          <w:szCs w:val="21"/>
        </w:rPr>
      </w:pPr>
      <w:r w:rsidRPr="00031518">
        <w:rPr>
          <w:rFonts w:ascii="Arial Narrow" w:hAnsi="Arial Narrow" w:cs="Arial-BoldMT"/>
          <w:b/>
          <w:bCs/>
          <w:kern w:val="0"/>
          <w:szCs w:val="21"/>
        </w:rPr>
        <w:t>Catalog Number :</w:t>
      </w:r>
      <w:r w:rsidRPr="00031518">
        <w:rPr>
          <w:rFonts w:ascii="Arial Narrow" w:eastAsia="Arial Unicode MS" w:hAnsi="Arial Narrow" w:cs="Arial Unicode MS"/>
          <w:kern w:val="0"/>
          <w:szCs w:val="21"/>
        </w:rPr>
        <w:t xml:space="preserve"> </w:t>
      </w:r>
      <w:r w:rsidRPr="00031518">
        <w:rPr>
          <w:rFonts w:ascii="Arial Narrow" w:hAnsi="Arial Narrow" w:cs="ArialMT"/>
          <w:kern w:val="0"/>
          <w:szCs w:val="21"/>
        </w:rPr>
        <w:t>MG</w:t>
      </w:r>
      <w:r w:rsidR="006A3F79" w:rsidRPr="00031518">
        <w:rPr>
          <w:rFonts w:ascii="Arial Narrow" w:hAnsi="Arial Narrow" w:cs="ArialMT"/>
          <w:kern w:val="0"/>
          <w:szCs w:val="21"/>
        </w:rPr>
        <w:t>009-500UL</w:t>
      </w:r>
    </w:p>
    <w:p w:rsidR="00031518" w:rsidRPr="00031518" w:rsidRDefault="00031518" w:rsidP="008D6470">
      <w:pPr>
        <w:pStyle w:val="Pa0"/>
        <w:spacing w:line="240" w:lineRule="auto"/>
        <w:rPr>
          <w:rFonts w:ascii="Arial Narrow" w:hAnsi="Arial Narrow" w:cs="Arial-BoldMT"/>
          <w:b/>
          <w:bCs/>
          <w:sz w:val="21"/>
          <w:szCs w:val="21"/>
        </w:rPr>
      </w:pPr>
      <w:r w:rsidRPr="00031518">
        <w:rPr>
          <w:rFonts w:ascii="Arial Narrow" w:hAnsi="Arial Narrow" w:cs="Arial-BoldMT"/>
          <w:b/>
          <w:sz w:val="21"/>
          <w:szCs w:val="21"/>
        </w:rPr>
        <w:t>Packaging Size</w:t>
      </w:r>
      <w:r w:rsidRPr="00031518">
        <w:rPr>
          <w:rFonts w:ascii="Arial Narrow" w:hAnsi="Arial Narrow" w:cs="Arial-BoldMT"/>
          <w:b/>
          <w:bCs/>
          <w:szCs w:val="21"/>
        </w:rPr>
        <w:t xml:space="preserve"> :</w:t>
      </w:r>
      <w:r w:rsidRPr="00031518">
        <w:rPr>
          <w:rFonts w:ascii="Arial Narrow" w:eastAsia="Arial Unicode MS" w:hAnsi="Arial Narrow" w:cs="Arial Unicode MS"/>
          <w:szCs w:val="21"/>
        </w:rPr>
        <w:t xml:space="preserve"> </w:t>
      </w:r>
      <w:r w:rsidRPr="00031518">
        <w:rPr>
          <w:rFonts w:ascii="Arial Narrow" w:hAnsi="Arial Narrow" w:cs="Arial-BoldMT"/>
          <w:bCs/>
          <w:sz w:val="21"/>
          <w:szCs w:val="21"/>
        </w:rPr>
        <w:t>0.5 mL</w:t>
      </w:r>
    </w:p>
    <w:p w:rsidR="00BF7AF1" w:rsidRPr="00031518" w:rsidRDefault="00BF7AF1" w:rsidP="00B74C16">
      <w:pPr>
        <w:spacing w:afterLines="100"/>
        <w:rPr>
          <w:rFonts w:ascii="Arial Narrow" w:hAnsi="Arial Narrow" w:cs="Arial-BoldMT"/>
          <w:bCs/>
          <w:kern w:val="0"/>
          <w:szCs w:val="21"/>
        </w:rPr>
      </w:pPr>
      <w:r w:rsidRPr="00031518">
        <w:rPr>
          <w:rFonts w:ascii="Arial Narrow" w:hAnsi="Arial Narrow" w:cs="Arial-BoldMT"/>
          <w:b/>
          <w:bCs/>
          <w:kern w:val="0"/>
          <w:szCs w:val="21"/>
        </w:rPr>
        <w:t xml:space="preserve">Lot Number : </w:t>
      </w:r>
      <w:r w:rsidRPr="00031518">
        <w:rPr>
          <w:rFonts w:ascii="Arial Narrow" w:hAnsi="Arial Narrow" w:cs="Arial-BoldMT"/>
          <w:bCs/>
          <w:kern w:val="0"/>
          <w:szCs w:val="21"/>
        </w:rPr>
        <w:t>20140111DN</w:t>
      </w:r>
    </w:p>
    <w:p w:rsidR="006A3F79" w:rsidRPr="006A3F79" w:rsidRDefault="006A3F79" w:rsidP="008D6470">
      <w:pPr>
        <w:rPr>
          <w:rFonts w:ascii="Arial Narrow" w:hAnsi="Arial Narrow" w:cs="ArialMT"/>
          <w:b/>
          <w:kern w:val="0"/>
          <w:sz w:val="24"/>
          <w:szCs w:val="24"/>
          <w:u w:val="single"/>
        </w:rPr>
      </w:pPr>
      <w:r w:rsidRPr="006A3F79">
        <w:rPr>
          <w:rFonts w:ascii="Arial Narrow" w:hAnsi="Arial Narrow" w:cs="ArialMT"/>
          <w:b/>
          <w:kern w:val="0"/>
          <w:sz w:val="24"/>
          <w:szCs w:val="24"/>
          <w:u w:val="single"/>
        </w:rPr>
        <w:t>Product Description</w:t>
      </w:r>
    </w:p>
    <w:p w:rsidR="006A3F79" w:rsidRPr="006A3F79" w:rsidRDefault="00D96713" w:rsidP="008D6470">
      <w:pPr>
        <w:widowControl/>
        <w:ind w:firstLineChars="100" w:firstLine="210"/>
        <w:rPr>
          <w:rFonts w:ascii="Arial Narrow" w:hAnsi="Arial Narrow" w:cs="ArialMT"/>
          <w:kern w:val="0"/>
          <w:szCs w:val="21"/>
        </w:rPr>
      </w:pPr>
      <w:r>
        <w:rPr>
          <w:rFonts w:ascii="Arial Narrow" w:hAnsi="Arial Narrow" w:cs="ArialMT" w:hint="eastAsia"/>
          <w:kern w:val="0"/>
          <w:szCs w:val="21"/>
        </w:rPr>
        <w:t>MesRed</w:t>
      </w:r>
      <w:r w:rsidR="009C0863">
        <w:rPr>
          <w:rFonts w:ascii="Arial Narrow" w:hAnsi="Arial Narrow" w:cs="ArialMT"/>
          <w:kern w:val="0"/>
          <w:szCs w:val="21"/>
        </w:rPr>
        <w:t xml:space="preserve"> is a</w:t>
      </w:r>
      <w:r w:rsidR="006A3F79" w:rsidRPr="006A3F79">
        <w:rPr>
          <w:rFonts w:ascii="Arial Narrow" w:hAnsi="Arial Narrow" w:cs="ArialMT"/>
          <w:kern w:val="0"/>
          <w:szCs w:val="21"/>
        </w:rPr>
        <w:t xml:space="preserve"> sensitive, extremely stable and environmentally safe fluorescent nucleic acid dye designed to replace the highly toxic ethidium bromide (EB) for staining dsDNA, ssDNA or RNA in agarose gels or polyacrylamide gels. </w:t>
      </w:r>
      <w:r>
        <w:rPr>
          <w:rFonts w:ascii="Arial Narrow" w:hAnsi="Arial Narrow" w:cs="ArialMT" w:hint="eastAsia"/>
          <w:kern w:val="0"/>
          <w:szCs w:val="21"/>
        </w:rPr>
        <w:t>MesRed</w:t>
      </w:r>
      <w:r w:rsidR="006A3F79" w:rsidRPr="006A3F79">
        <w:rPr>
          <w:rFonts w:ascii="Arial Narrow" w:hAnsi="Arial Narrow" w:cs="ArialMT"/>
          <w:kern w:val="0"/>
          <w:szCs w:val="21"/>
        </w:rPr>
        <w:t xml:space="preserve"> is far more sensitive than EB without requiring a destaining step. </w:t>
      </w:r>
      <w:r>
        <w:rPr>
          <w:rFonts w:ascii="Arial Narrow" w:hAnsi="Arial Narrow" w:cs="ArialMT" w:hint="eastAsia"/>
          <w:kern w:val="0"/>
          <w:szCs w:val="21"/>
        </w:rPr>
        <w:t>MesRed</w:t>
      </w:r>
      <w:r w:rsidR="006A3F79" w:rsidRPr="006A3F79">
        <w:rPr>
          <w:rFonts w:ascii="Arial Narrow" w:hAnsi="Arial Narrow" w:cs="ArialMT"/>
          <w:kern w:val="0"/>
          <w:szCs w:val="21"/>
        </w:rPr>
        <w:t xml:space="preserve"> and EB have virtually the same spectra, so you can directly replace EB with </w:t>
      </w:r>
      <w:r>
        <w:rPr>
          <w:rFonts w:ascii="Arial Narrow" w:hAnsi="Arial Narrow" w:cs="ArialMT" w:hint="eastAsia"/>
          <w:kern w:val="0"/>
          <w:szCs w:val="21"/>
        </w:rPr>
        <w:t>MesRed</w:t>
      </w:r>
      <w:r w:rsidR="006A3F79" w:rsidRPr="006A3F79">
        <w:rPr>
          <w:rFonts w:ascii="Arial Narrow" w:hAnsi="Arial Narrow" w:cs="ArialMT"/>
          <w:kern w:val="0"/>
          <w:szCs w:val="21"/>
        </w:rPr>
        <w:t xml:space="preserve"> without changing your existing imaging system.</w:t>
      </w:r>
    </w:p>
    <w:p w:rsidR="006A3F79" w:rsidRPr="006A3F79" w:rsidRDefault="006A3F79" w:rsidP="008D6470">
      <w:pPr>
        <w:rPr>
          <w:rFonts w:ascii="Arial Narrow" w:hAnsi="Arial Narrow" w:cs="ArialMT"/>
          <w:b/>
          <w:kern w:val="0"/>
          <w:sz w:val="24"/>
          <w:szCs w:val="24"/>
          <w:u w:val="single"/>
        </w:rPr>
      </w:pPr>
      <w:r w:rsidRPr="009C0863">
        <w:rPr>
          <w:rFonts w:ascii="Arial Narrow" w:hAnsi="Arial Narrow" w:cs="ArialMT"/>
          <w:b/>
          <w:kern w:val="0"/>
          <w:sz w:val="24"/>
          <w:szCs w:val="24"/>
          <w:u w:val="single"/>
        </w:rPr>
        <w:t>F</w:t>
      </w:r>
      <w:r w:rsidR="0071109A" w:rsidRPr="009C0863">
        <w:rPr>
          <w:rFonts w:ascii="Arial Narrow" w:hAnsi="Arial Narrow" w:cs="ArialMT" w:hint="eastAsia"/>
          <w:b/>
          <w:kern w:val="0"/>
          <w:sz w:val="24"/>
          <w:szCs w:val="24"/>
          <w:u w:val="single"/>
        </w:rPr>
        <w:t>eatures</w:t>
      </w:r>
    </w:p>
    <w:p w:rsidR="006A3F79" w:rsidRPr="006A3F79" w:rsidRDefault="006A3F79" w:rsidP="008D6470">
      <w:pPr>
        <w:widowControl/>
        <w:numPr>
          <w:ilvl w:val="0"/>
          <w:numId w:val="1"/>
        </w:numPr>
        <w:ind w:left="0" w:hanging="357"/>
        <w:rPr>
          <w:rFonts w:ascii="Arial Narrow" w:hAnsi="Arial Narrow" w:cs="ArialMT"/>
          <w:kern w:val="0"/>
          <w:szCs w:val="21"/>
        </w:rPr>
      </w:pPr>
      <w:r w:rsidRPr="00031518">
        <w:rPr>
          <w:rFonts w:ascii="Arial Narrow" w:hAnsi="Arial Narrow" w:cs="ArialMT"/>
          <w:kern w:val="0"/>
          <w:szCs w:val="21"/>
        </w:rPr>
        <w:t>Safer than EB</w:t>
      </w:r>
      <w:r w:rsidRPr="006A3F79">
        <w:rPr>
          <w:rFonts w:ascii="Arial Narrow" w:hAnsi="Arial Narrow" w:cs="ArialMT"/>
          <w:kern w:val="0"/>
          <w:szCs w:val="21"/>
        </w:rPr>
        <w:t>: Shown by the Ames test and other tests to be nonmutagenic and noncytotoxic</w:t>
      </w:r>
    </w:p>
    <w:p w:rsidR="006A3F79" w:rsidRPr="006A3F79" w:rsidRDefault="006A3F79" w:rsidP="008D6470">
      <w:pPr>
        <w:widowControl/>
        <w:numPr>
          <w:ilvl w:val="0"/>
          <w:numId w:val="1"/>
        </w:numPr>
        <w:ind w:left="0" w:hanging="357"/>
        <w:rPr>
          <w:rFonts w:ascii="Arial Narrow" w:hAnsi="Arial Narrow" w:cs="ArialMT"/>
          <w:kern w:val="0"/>
          <w:szCs w:val="21"/>
        </w:rPr>
      </w:pPr>
      <w:r w:rsidRPr="00031518">
        <w:rPr>
          <w:rFonts w:ascii="Arial Narrow" w:hAnsi="Arial Narrow" w:cs="ArialMT"/>
          <w:kern w:val="0"/>
          <w:szCs w:val="21"/>
        </w:rPr>
        <w:t>Easy disposal</w:t>
      </w:r>
      <w:r w:rsidRPr="006A3F79">
        <w:rPr>
          <w:rFonts w:ascii="Arial Narrow" w:hAnsi="Arial Narrow" w:cs="ArialMT"/>
          <w:kern w:val="0"/>
          <w:szCs w:val="21"/>
        </w:rPr>
        <w:t>: Passed environmental safety tests for direct disposal down the drain or in regular trash</w:t>
      </w:r>
    </w:p>
    <w:p w:rsidR="006A3F79" w:rsidRPr="006A3F79" w:rsidRDefault="006A3F79" w:rsidP="008D6470">
      <w:pPr>
        <w:widowControl/>
        <w:numPr>
          <w:ilvl w:val="0"/>
          <w:numId w:val="1"/>
        </w:numPr>
        <w:ind w:left="0" w:hanging="357"/>
        <w:rPr>
          <w:rFonts w:ascii="Arial Narrow" w:hAnsi="Arial Narrow" w:cs="ArialMT"/>
          <w:kern w:val="0"/>
          <w:szCs w:val="21"/>
        </w:rPr>
      </w:pPr>
      <w:r w:rsidRPr="00031518">
        <w:rPr>
          <w:rFonts w:ascii="Arial Narrow" w:hAnsi="Arial Narrow" w:cs="ArialMT"/>
          <w:kern w:val="0"/>
          <w:szCs w:val="21"/>
        </w:rPr>
        <w:t>Ultra-sensitive</w:t>
      </w:r>
      <w:r w:rsidRPr="006A3F79">
        <w:rPr>
          <w:rFonts w:ascii="Arial Narrow" w:hAnsi="Arial Narrow" w:cs="ArialMT"/>
          <w:kern w:val="0"/>
          <w:szCs w:val="21"/>
        </w:rPr>
        <w:t>: Much more sensitive than EtBr</w:t>
      </w:r>
    </w:p>
    <w:p w:rsidR="006A3F79" w:rsidRPr="006A3F79" w:rsidRDefault="006A3F79" w:rsidP="008D6470">
      <w:pPr>
        <w:widowControl/>
        <w:numPr>
          <w:ilvl w:val="0"/>
          <w:numId w:val="1"/>
        </w:numPr>
        <w:ind w:left="0" w:hanging="357"/>
        <w:rPr>
          <w:rFonts w:ascii="Arial Narrow" w:hAnsi="Arial Narrow" w:cs="ArialMT"/>
          <w:kern w:val="0"/>
          <w:szCs w:val="21"/>
        </w:rPr>
      </w:pPr>
      <w:r w:rsidRPr="00031518">
        <w:rPr>
          <w:rFonts w:ascii="Arial Narrow" w:hAnsi="Arial Narrow" w:cs="ArialMT"/>
          <w:kern w:val="0"/>
          <w:szCs w:val="21"/>
        </w:rPr>
        <w:t>Extremely stable</w:t>
      </w:r>
      <w:r w:rsidRPr="006A3F79">
        <w:rPr>
          <w:rFonts w:ascii="Arial Narrow" w:hAnsi="Arial Narrow" w:cs="ArialMT"/>
          <w:kern w:val="0"/>
          <w:szCs w:val="21"/>
        </w:rPr>
        <w:t>: Available in water, stable at room temperature for long-term storage and microwavable</w:t>
      </w:r>
    </w:p>
    <w:p w:rsidR="006A3F79" w:rsidRPr="006A3F79" w:rsidRDefault="006A3F79" w:rsidP="008D6470">
      <w:pPr>
        <w:widowControl/>
        <w:numPr>
          <w:ilvl w:val="0"/>
          <w:numId w:val="1"/>
        </w:numPr>
        <w:ind w:left="0" w:hanging="357"/>
        <w:rPr>
          <w:rFonts w:ascii="Arial Narrow" w:hAnsi="Arial Narrow" w:cs="ArialMT"/>
          <w:kern w:val="0"/>
          <w:szCs w:val="21"/>
        </w:rPr>
      </w:pPr>
      <w:r w:rsidRPr="00031518">
        <w:rPr>
          <w:rFonts w:ascii="Arial Narrow" w:hAnsi="Arial Narrow" w:cs="ArialMT"/>
          <w:kern w:val="0"/>
          <w:szCs w:val="21"/>
        </w:rPr>
        <w:t>Simple to use</w:t>
      </w:r>
      <w:r w:rsidRPr="006A3F79">
        <w:rPr>
          <w:rFonts w:ascii="Arial Narrow" w:hAnsi="Arial Narrow" w:cs="ArialMT"/>
          <w:kern w:val="0"/>
          <w:szCs w:val="21"/>
        </w:rPr>
        <w:t>: Very simple procedures for precast or post-electrophoresis gel staining</w:t>
      </w:r>
    </w:p>
    <w:p w:rsidR="006A3F79" w:rsidRPr="006A3F79" w:rsidRDefault="006A3F79" w:rsidP="008D6470">
      <w:pPr>
        <w:widowControl/>
        <w:numPr>
          <w:ilvl w:val="0"/>
          <w:numId w:val="1"/>
        </w:numPr>
        <w:ind w:left="0" w:hanging="357"/>
        <w:rPr>
          <w:rFonts w:ascii="Arial Narrow" w:hAnsi="Arial Narrow" w:cs="ArialMT"/>
          <w:kern w:val="0"/>
          <w:szCs w:val="21"/>
        </w:rPr>
      </w:pPr>
      <w:r w:rsidRPr="00031518">
        <w:rPr>
          <w:rFonts w:ascii="Arial Narrow" w:hAnsi="Arial Narrow" w:cs="ArialMT"/>
          <w:kern w:val="0"/>
          <w:szCs w:val="21"/>
        </w:rPr>
        <w:t xml:space="preserve">Compatible with a standard UV transilluminator </w:t>
      </w:r>
      <w:r w:rsidRPr="006A3F79">
        <w:rPr>
          <w:rFonts w:ascii="Arial Narrow" w:hAnsi="Arial Narrow" w:cs="ArialMT"/>
          <w:kern w:val="0"/>
          <w:szCs w:val="21"/>
        </w:rPr>
        <w:t>: Replaces EtBr with no optical setting change</w:t>
      </w:r>
    </w:p>
    <w:p w:rsidR="00031518" w:rsidRPr="009C0863" w:rsidRDefault="00031518" w:rsidP="008D6470">
      <w:pPr>
        <w:rPr>
          <w:rFonts w:ascii="Arial Narrow" w:hAnsi="Arial Narrow" w:cs="ArialMT"/>
          <w:b/>
          <w:kern w:val="0"/>
          <w:sz w:val="24"/>
          <w:szCs w:val="24"/>
          <w:u w:val="single"/>
        </w:rPr>
      </w:pPr>
      <w:r w:rsidRPr="009C0863">
        <w:rPr>
          <w:rFonts w:ascii="Arial Narrow" w:hAnsi="Arial Narrow" w:cs="ArialMT"/>
          <w:b/>
          <w:kern w:val="0"/>
          <w:sz w:val="24"/>
          <w:szCs w:val="24"/>
          <w:u w:val="single"/>
        </w:rPr>
        <w:t>Storage and Handling</w:t>
      </w:r>
    </w:p>
    <w:p w:rsidR="00031518" w:rsidRPr="00031518" w:rsidRDefault="00D96713" w:rsidP="008D6470">
      <w:pPr>
        <w:pStyle w:val="Pa0"/>
        <w:spacing w:line="240" w:lineRule="auto"/>
        <w:rPr>
          <w:rFonts w:ascii="Arial Narrow" w:hAnsi="Arial Narrow" w:cs="ArialMT"/>
          <w:sz w:val="21"/>
          <w:szCs w:val="21"/>
        </w:rPr>
      </w:pPr>
      <w:r>
        <w:rPr>
          <w:rFonts w:ascii="Arial Narrow" w:hAnsi="Arial Narrow" w:cs="ArialMT" w:hint="eastAsia"/>
          <w:sz w:val="21"/>
          <w:szCs w:val="21"/>
        </w:rPr>
        <w:t>MesRed</w:t>
      </w:r>
      <w:r w:rsidR="00031518" w:rsidRPr="009C0863">
        <w:rPr>
          <w:rFonts w:ascii="Arial Narrow" w:hAnsi="Arial Narrow" w:cs="ArialMT"/>
          <w:sz w:val="21"/>
          <w:szCs w:val="21"/>
        </w:rPr>
        <w:t xml:space="preserve"> is a very stable dye. Store 10,000X solution and dilute solutions of </w:t>
      </w:r>
      <w:r>
        <w:rPr>
          <w:rFonts w:ascii="Arial Narrow" w:hAnsi="Arial Narrow" w:cs="ArialMT" w:hint="eastAsia"/>
          <w:sz w:val="21"/>
          <w:szCs w:val="21"/>
        </w:rPr>
        <w:t>MesRed</w:t>
      </w:r>
      <w:r w:rsidR="00031518" w:rsidRPr="009C0863">
        <w:rPr>
          <w:rFonts w:ascii="Arial Narrow" w:hAnsi="Arial Narrow" w:cs="ArialMT"/>
          <w:sz w:val="21"/>
          <w:szCs w:val="21"/>
        </w:rPr>
        <w:t xml:space="preserve"> at room temperature, protected from light. Dye precipitation may occur at </w:t>
      </w:r>
      <w:r w:rsidR="00031518" w:rsidRPr="00031518">
        <w:rPr>
          <w:rFonts w:ascii="Arial Narrow" w:hAnsi="Arial Narrow" w:cs="ArialMT"/>
          <w:sz w:val="21"/>
          <w:szCs w:val="21"/>
        </w:rPr>
        <w:t>lower temperatures, resulting in lower signal or the appearance of precipitate on the surface of the gel. If this occurs, heat the solution to 45-50</w:t>
      </w:r>
      <w:r w:rsidR="009C0863">
        <w:rPr>
          <w:color w:val="333333"/>
          <w:sz w:val="20"/>
          <w:szCs w:val="20"/>
        </w:rPr>
        <w:t>°C</w:t>
      </w:r>
      <w:r w:rsidR="00031518" w:rsidRPr="00031518">
        <w:rPr>
          <w:rFonts w:ascii="Arial Narrow" w:hAnsi="Arial Narrow" w:cs="ArialMT"/>
          <w:sz w:val="21"/>
          <w:szCs w:val="21"/>
        </w:rPr>
        <w:t xml:space="preserve"> for two minutes and vortex. </w:t>
      </w:r>
      <w:r>
        <w:rPr>
          <w:rFonts w:ascii="Arial Narrow" w:hAnsi="Arial Narrow" w:cs="ArialMT" w:hint="eastAsia"/>
          <w:sz w:val="21"/>
          <w:szCs w:val="21"/>
        </w:rPr>
        <w:t>MesRed</w:t>
      </w:r>
      <w:r w:rsidR="00031518" w:rsidRPr="00031518">
        <w:rPr>
          <w:rFonts w:ascii="Arial Narrow" w:hAnsi="Arial Narrow" w:cs="ArialMT"/>
          <w:sz w:val="21"/>
          <w:szCs w:val="21"/>
        </w:rPr>
        <w:t xml:space="preserve"> is stable for at least one year from the date it is received.</w:t>
      </w:r>
    </w:p>
    <w:p w:rsidR="009C0863" w:rsidRPr="009C0863" w:rsidRDefault="009C0863" w:rsidP="008D6470">
      <w:pPr>
        <w:rPr>
          <w:rFonts w:ascii="Arial Narrow" w:hAnsi="Arial Narrow" w:cs="ArialMT"/>
          <w:b/>
          <w:kern w:val="0"/>
          <w:sz w:val="24"/>
          <w:szCs w:val="24"/>
          <w:u w:val="single"/>
        </w:rPr>
      </w:pPr>
      <w:r w:rsidRPr="009C0863">
        <w:rPr>
          <w:rFonts w:ascii="Arial Narrow" w:hAnsi="Arial Narrow" w:cs="ArialMT"/>
          <w:b/>
          <w:kern w:val="0"/>
          <w:sz w:val="24"/>
          <w:szCs w:val="24"/>
          <w:u w:val="single"/>
        </w:rPr>
        <w:t>1. Post-Staining Protocol</w:t>
      </w:r>
    </w:p>
    <w:p w:rsidR="009C0863" w:rsidRPr="009C0863" w:rsidRDefault="009C0863" w:rsidP="008D6470">
      <w:pPr>
        <w:autoSpaceDE w:val="0"/>
        <w:autoSpaceDN w:val="0"/>
        <w:adjustRightInd w:val="0"/>
        <w:ind w:left="360" w:hanging="360"/>
        <w:jc w:val="left"/>
        <w:rPr>
          <w:rFonts w:ascii="Arial Narrow" w:hAnsi="Arial Narrow" w:cs="ArialMT"/>
          <w:kern w:val="0"/>
          <w:szCs w:val="21"/>
        </w:rPr>
      </w:pPr>
      <w:r w:rsidRPr="009C0863">
        <w:rPr>
          <w:rFonts w:ascii="Arial Narrow" w:hAnsi="Arial Narrow" w:cs="ArialMT"/>
          <w:kern w:val="0"/>
          <w:szCs w:val="21"/>
        </w:rPr>
        <w:t>1.1 Run gels according to your standard protocol.</w:t>
      </w:r>
    </w:p>
    <w:p w:rsidR="009C0863" w:rsidRPr="009C0863" w:rsidRDefault="009C0863" w:rsidP="008D6470">
      <w:pPr>
        <w:autoSpaceDE w:val="0"/>
        <w:autoSpaceDN w:val="0"/>
        <w:adjustRightInd w:val="0"/>
        <w:ind w:left="360" w:hanging="360"/>
        <w:jc w:val="left"/>
        <w:rPr>
          <w:rFonts w:ascii="Arial Narrow" w:hAnsi="Arial Narrow" w:cs="ArialMT"/>
          <w:kern w:val="0"/>
          <w:szCs w:val="21"/>
        </w:rPr>
      </w:pPr>
      <w:r w:rsidRPr="009C0863">
        <w:rPr>
          <w:rFonts w:ascii="Arial Narrow" w:hAnsi="Arial Narrow" w:cs="ArialMT"/>
          <w:kern w:val="0"/>
          <w:szCs w:val="21"/>
        </w:rPr>
        <w:t xml:space="preserve">1.2 Dilute </w:t>
      </w:r>
      <w:r w:rsidR="00D96713">
        <w:rPr>
          <w:rFonts w:ascii="Arial Narrow" w:hAnsi="Arial Narrow" w:cs="ArialMT" w:hint="eastAsia"/>
          <w:szCs w:val="21"/>
        </w:rPr>
        <w:t>MesRed</w:t>
      </w:r>
      <w:r w:rsidRPr="009C0863">
        <w:rPr>
          <w:rFonts w:ascii="Arial Narrow" w:hAnsi="Arial Narrow" w:cs="ArialMT"/>
          <w:kern w:val="0"/>
          <w:szCs w:val="21"/>
        </w:rPr>
        <w:t xml:space="preserve"> 10,000X stock solution 3,300 fold to make a 3X staining solution in H</w:t>
      </w:r>
      <w:r w:rsidRPr="009C0863">
        <w:rPr>
          <w:rFonts w:ascii="Arial Narrow" w:hAnsi="Arial Narrow" w:cs="ArialMT"/>
          <w:kern w:val="0"/>
          <w:szCs w:val="21"/>
          <w:vertAlign w:val="subscript"/>
        </w:rPr>
        <w:t>2</w:t>
      </w:r>
      <w:r w:rsidRPr="009C0863">
        <w:rPr>
          <w:rFonts w:ascii="Arial Narrow" w:hAnsi="Arial Narrow" w:cs="ArialMT"/>
          <w:kern w:val="0"/>
          <w:szCs w:val="21"/>
        </w:rPr>
        <w:t>O. Generally 50 mL staining solution is an adequate volume for one minigel. Note: including 0.1 M NaCl in the staining solution enhances sensitivity, but may promote dye precipitation if the gel stain is reused.</w:t>
      </w:r>
    </w:p>
    <w:p w:rsidR="009C0863" w:rsidRPr="009C0863" w:rsidRDefault="009C0863" w:rsidP="008D6470">
      <w:pPr>
        <w:autoSpaceDE w:val="0"/>
        <w:autoSpaceDN w:val="0"/>
        <w:adjustRightInd w:val="0"/>
        <w:ind w:left="360" w:hanging="360"/>
        <w:jc w:val="left"/>
        <w:rPr>
          <w:rFonts w:ascii="Arial Narrow" w:hAnsi="Arial Narrow" w:cs="ArialMT"/>
          <w:kern w:val="0"/>
          <w:szCs w:val="21"/>
        </w:rPr>
      </w:pPr>
      <w:r w:rsidRPr="009C0863">
        <w:rPr>
          <w:rFonts w:ascii="Arial Narrow" w:hAnsi="Arial Narrow" w:cs="ArialMT"/>
          <w:kern w:val="0"/>
          <w:szCs w:val="21"/>
        </w:rPr>
        <w:t>1.3 Place the gel in a suitable container such as a polypropylene staining tray. Add a sufficient amount of the 3X staining solution to submerge the gel.</w:t>
      </w:r>
    </w:p>
    <w:p w:rsidR="009C0863" w:rsidRPr="009C0863" w:rsidRDefault="009C0863" w:rsidP="008D6470">
      <w:pPr>
        <w:autoSpaceDE w:val="0"/>
        <w:autoSpaceDN w:val="0"/>
        <w:adjustRightInd w:val="0"/>
        <w:ind w:left="360" w:hanging="360"/>
        <w:jc w:val="left"/>
        <w:rPr>
          <w:rFonts w:ascii="Arial Narrow" w:hAnsi="Arial Narrow" w:cs="ArialMT"/>
          <w:kern w:val="0"/>
          <w:szCs w:val="21"/>
        </w:rPr>
      </w:pPr>
      <w:r w:rsidRPr="009C0863">
        <w:rPr>
          <w:rFonts w:ascii="Arial Narrow" w:hAnsi="Arial Narrow" w:cs="ArialMT"/>
          <w:kern w:val="0"/>
          <w:szCs w:val="21"/>
        </w:rPr>
        <w:t>1.4 Agitate the gel gently at room tempera</w:t>
      </w:r>
      <w:r>
        <w:rPr>
          <w:rFonts w:ascii="Arial Narrow" w:hAnsi="Arial Narrow" w:cs="ArialMT"/>
          <w:kern w:val="0"/>
          <w:szCs w:val="21"/>
        </w:rPr>
        <w:t xml:space="preserve">ture for </w:t>
      </w:r>
      <w:r w:rsidRPr="009C0863">
        <w:rPr>
          <w:rFonts w:ascii="Arial Narrow" w:hAnsi="Arial Narrow" w:cs="ArialMT"/>
          <w:kern w:val="0"/>
          <w:szCs w:val="21"/>
        </w:rPr>
        <w:t xml:space="preserve">30 minutes. Note: Optimal staining time may vary somewhat depending on the </w:t>
      </w:r>
      <w:r w:rsidRPr="009C0863">
        <w:rPr>
          <w:rFonts w:ascii="Arial Narrow" w:hAnsi="Arial Narrow" w:cs="ArialMT"/>
          <w:kern w:val="0"/>
          <w:szCs w:val="21"/>
        </w:rPr>
        <w:lastRenderedPageBreak/>
        <w:t xml:space="preserve">thickness of the gel and the percentage of agarose. For polyacrylamide gels containing 3.5-10% acrylamide, typical staining time is 30 minutes to 1 hour with gels of higher acrylamide content requiring longer staining time. </w:t>
      </w:r>
    </w:p>
    <w:p w:rsidR="009C0863" w:rsidRPr="009C0863" w:rsidRDefault="009C0863" w:rsidP="008D6470">
      <w:pPr>
        <w:autoSpaceDE w:val="0"/>
        <w:autoSpaceDN w:val="0"/>
        <w:adjustRightInd w:val="0"/>
        <w:ind w:left="360" w:hanging="360"/>
        <w:jc w:val="left"/>
        <w:rPr>
          <w:rFonts w:ascii="Arial Narrow" w:hAnsi="Arial Narrow" w:cs="ArialMT"/>
          <w:kern w:val="0"/>
          <w:szCs w:val="21"/>
        </w:rPr>
      </w:pPr>
      <w:r w:rsidRPr="009C0863">
        <w:rPr>
          <w:rFonts w:ascii="Arial Narrow" w:hAnsi="Arial Narrow" w:cs="ArialMT"/>
          <w:kern w:val="0"/>
          <w:szCs w:val="21"/>
        </w:rPr>
        <w:t>1.5 Destaining is not required, but the gel can be washed in water to reduce background if necessary.</w:t>
      </w:r>
    </w:p>
    <w:p w:rsidR="009C0863" w:rsidRPr="009C0863" w:rsidRDefault="009C0863" w:rsidP="008D6470">
      <w:pPr>
        <w:autoSpaceDE w:val="0"/>
        <w:autoSpaceDN w:val="0"/>
        <w:adjustRightInd w:val="0"/>
        <w:ind w:left="360" w:hanging="360"/>
        <w:jc w:val="left"/>
        <w:rPr>
          <w:rFonts w:ascii="Arial Narrow" w:hAnsi="Arial Narrow" w:cs="ArialMT"/>
          <w:kern w:val="0"/>
          <w:szCs w:val="21"/>
        </w:rPr>
      </w:pPr>
      <w:r w:rsidRPr="009C0863">
        <w:rPr>
          <w:rFonts w:ascii="Arial Narrow" w:hAnsi="Arial Narrow" w:cs="ArialMT"/>
          <w:kern w:val="0"/>
          <w:szCs w:val="21"/>
        </w:rPr>
        <w:t>1.6 View the stained gel with a standard transilluminator (302 or 312 nm).</w:t>
      </w:r>
    </w:p>
    <w:p w:rsidR="009C0863" w:rsidRPr="009C0863" w:rsidRDefault="009C0863" w:rsidP="008D6470">
      <w:pPr>
        <w:autoSpaceDE w:val="0"/>
        <w:autoSpaceDN w:val="0"/>
        <w:adjustRightInd w:val="0"/>
        <w:ind w:left="360" w:hanging="360"/>
        <w:jc w:val="left"/>
        <w:rPr>
          <w:rFonts w:ascii="Arial Narrow" w:hAnsi="Arial Narrow" w:cs="ArialMT"/>
          <w:kern w:val="0"/>
          <w:szCs w:val="21"/>
        </w:rPr>
      </w:pPr>
      <w:r w:rsidRPr="009C0863">
        <w:rPr>
          <w:rFonts w:ascii="Arial Narrow" w:hAnsi="Arial Narrow" w:cs="ArialMT"/>
          <w:kern w:val="0"/>
          <w:szCs w:val="21"/>
        </w:rPr>
        <w:t>1.7 Staining solution can be reused at least 2-3 times. Store staining solution at room temperature protected from light.</w:t>
      </w:r>
    </w:p>
    <w:p w:rsidR="009C0863" w:rsidRPr="009C0863" w:rsidRDefault="009C0863" w:rsidP="008D6470">
      <w:pPr>
        <w:rPr>
          <w:rFonts w:ascii="Arial Narrow" w:hAnsi="Arial Narrow" w:cs="ArialMT"/>
          <w:b/>
          <w:kern w:val="0"/>
          <w:sz w:val="24"/>
          <w:szCs w:val="24"/>
          <w:u w:val="single"/>
        </w:rPr>
      </w:pPr>
      <w:r w:rsidRPr="009C0863">
        <w:rPr>
          <w:rFonts w:ascii="Arial Narrow" w:hAnsi="Arial Narrow" w:cs="ArialMT"/>
          <w:b/>
          <w:kern w:val="0"/>
          <w:sz w:val="24"/>
          <w:szCs w:val="24"/>
          <w:u w:val="single"/>
        </w:rPr>
        <w:t>2. Precast Protocol for Agarose Gels</w:t>
      </w:r>
    </w:p>
    <w:p w:rsidR="009C0863" w:rsidRPr="009C0863" w:rsidRDefault="009C0863" w:rsidP="008D6470">
      <w:pPr>
        <w:autoSpaceDE w:val="0"/>
        <w:autoSpaceDN w:val="0"/>
        <w:adjustRightInd w:val="0"/>
        <w:ind w:left="380" w:hanging="360"/>
        <w:jc w:val="left"/>
        <w:rPr>
          <w:rFonts w:ascii="Arial Narrow" w:hAnsi="Arial Narrow" w:cs="ArialMT"/>
          <w:kern w:val="0"/>
          <w:szCs w:val="21"/>
        </w:rPr>
      </w:pPr>
      <w:r w:rsidRPr="009C0863">
        <w:rPr>
          <w:rFonts w:ascii="Arial Narrow" w:hAnsi="Arial Narrow" w:cs="ArialMT"/>
          <w:kern w:val="0"/>
          <w:szCs w:val="21"/>
        </w:rPr>
        <w:t xml:space="preserve">2.1 Prepare molten agarose gel solution using your standard protocol. </w:t>
      </w:r>
    </w:p>
    <w:p w:rsidR="009C0863" w:rsidRPr="009C0863" w:rsidRDefault="009C0863" w:rsidP="008D6470">
      <w:pPr>
        <w:autoSpaceDE w:val="0"/>
        <w:autoSpaceDN w:val="0"/>
        <w:adjustRightInd w:val="0"/>
        <w:ind w:left="380" w:hanging="360"/>
        <w:jc w:val="left"/>
        <w:rPr>
          <w:rFonts w:ascii="Arial Narrow" w:hAnsi="Arial Narrow" w:cs="ArialMT"/>
          <w:kern w:val="0"/>
          <w:szCs w:val="21"/>
        </w:rPr>
      </w:pPr>
      <w:r w:rsidRPr="009C0863">
        <w:rPr>
          <w:rFonts w:ascii="Arial Narrow" w:hAnsi="Arial Narrow" w:cs="ArialMT"/>
          <w:kern w:val="0"/>
          <w:szCs w:val="21"/>
        </w:rPr>
        <w:t>Note: the precast protocol is not recommended for polyacrylamide gels. Polyacrylamide gels can be stained using the post-stain protocol.</w:t>
      </w:r>
    </w:p>
    <w:p w:rsidR="009C0863" w:rsidRPr="009C0863" w:rsidRDefault="009C0863" w:rsidP="008D6470">
      <w:pPr>
        <w:autoSpaceDE w:val="0"/>
        <w:autoSpaceDN w:val="0"/>
        <w:adjustRightInd w:val="0"/>
        <w:ind w:left="380" w:hanging="360"/>
        <w:jc w:val="left"/>
        <w:rPr>
          <w:rFonts w:ascii="Arial Narrow" w:hAnsi="Arial Narrow" w:cs="ArialMT"/>
          <w:kern w:val="0"/>
          <w:szCs w:val="21"/>
        </w:rPr>
      </w:pPr>
      <w:r w:rsidRPr="009C0863">
        <w:rPr>
          <w:rFonts w:ascii="Arial Narrow" w:hAnsi="Arial Narrow" w:cs="ArialMT"/>
          <w:kern w:val="0"/>
          <w:szCs w:val="21"/>
        </w:rPr>
        <w:t xml:space="preserve">2.2 Dilute the </w:t>
      </w:r>
      <w:r w:rsidR="00D96713">
        <w:rPr>
          <w:rFonts w:ascii="Arial Narrow" w:hAnsi="Arial Narrow" w:cs="ArialMT" w:hint="eastAsia"/>
          <w:szCs w:val="21"/>
        </w:rPr>
        <w:t>MesRed</w:t>
      </w:r>
      <w:r w:rsidRPr="009C0863">
        <w:rPr>
          <w:rFonts w:ascii="Arial Narrow" w:hAnsi="Arial Narrow" w:cs="ArialMT"/>
          <w:kern w:val="0"/>
          <w:szCs w:val="21"/>
        </w:rPr>
        <w:t xml:space="preserve"> 10,000X stock reagent into the molten agarose gel solution at </w:t>
      </w:r>
      <w:r w:rsidR="008D6470">
        <w:rPr>
          <w:rFonts w:ascii="Arial Narrow" w:hAnsi="Arial Narrow" w:cs="ArialMT"/>
          <w:kern w:val="0"/>
          <w:szCs w:val="21"/>
        </w:rPr>
        <w:t xml:space="preserve">1:10,000 and mix thoroughly. </w:t>
      </w:r>
      <w:r w:rsidR="00D96713">
        <w:rPr>
          <w:rFonts w:ascii="Arial Narrow" w:hAnsi="Arial Narrow" w:cs="ArialMT" w:hint="eastAsia"/>
          <w:kern w:val="0"/>
          <w:szCs w:val="21"/>
        </w:rPr>
        <w:t>MesRed</w:t>
      </w:r>
      <w:r w:rsidR="008D6470">
        <w:rPr>
          <w:rFonts w:ascii="Arial Narrow" w:hAnsi="Arial Narrow" w:cs="ArialMT" w:hint="eastAsia"/>
          <w:kern w:val="0"/>
          <w:szCs w:val="21"/>
        </w:rPr>
        <w:t xml:space="preserve"> </w:t>
      </w:r>
      <w:r w:rsidRPr="009C0863">
        <w:rPr>
          <w:rFonts w:ascii="Arial Narrow" w:hAnsi="Arial Narrow" w:cs="ArialMT"/>
          <w:kern w:val="0"/>
          <w:szCs w:val="21"/>
        </w:rPr>
        <w:t xml:space="preserve">can be added while the gel solution is still hot. </w:t>
      </w:r>
    </w:p>
    <w:p w:rsidR="009C0863" w:rsidRPr="009C0863" w:rsidRDefault="009C0863" w:rsidP="008D6470">
      <w:pPr>
        <w:autoSpaceDE w:val="0"/>
        <w:autoSpaceDN w:val="0"/>
        <w:adjustRightInd w:val="0"/>
        <w:ind w:left="380" w:hanging="360"/>
        <w:jc w:val="left"/>
        <w:rPr>
          <w:rFonts w:ascii="Arial Narrow" w:hAnsi="Arial Narrow" w:cs="ArialMT"/>
          <w:kern w:val="0"/>
          <w:szCs w:val="21"/>
        </w:rPr>
      </w:pPr>
      <w:r w:rsidRPr="009C0863">
        <w:rPr>
          <w:rFonts w:ascii="Arial Narrow" w:hAnsi="Arial Narrow" w:cs="ArialMT"/>
          <w:kern w:val="0"/>
          <w:szCs w:val="21"/>
        </w:rPr>
        <w:t xml:space="preserve">2.3 Cast the gel and allow it to solidify. </w:t>
      </w:r>
    </w:p>
    <w:p w:rsidR="009C0863" w:rsidRPr="009C0863" w:rsidRDefault="009C0863" w:rsidP="008D6470">
      <w:pPr>
        <w:autoSpaceDE w:val="0"/>
        <w:autoSpaceDN w:val="0"/>
        <w:adjustRightInd w:val="0"/>
        <w:ind w:left="380" w:hanging="360"/>
        <w:jc w:val="left"/>
        <w:rPr>
          <w:rFonts w:ascii="Arial Narrow" w:hAnsi="Arial Narrow" w:cs="ArialMT"/>
          <w:kern w:val="0"/>
          <w:szCs w:val="21"/>
        </w:rPr>
      </w:pPr>
      <w:r w:rsidRPr="009C0863">
        <w:rPr>
          <w:rFonts w:ascii="Arial Narrow" w:hAnsi="Arial Narrow" w:cs="ArialMT"/>
          <w:kern w:val="0"/>
          <w:szCs w:val="21"/>
        </w:rPr>
        <w:t xml:space="preserve">2.4 Load samples and run the gels using your standard protocol. </w:t>
      </w:r>
    </w:p>
    <w:p w:rsidR="009C0863" w:rsidRPr="009C0863" w:rsidRDefault="009C0863" w:rsidP="008D6470">
      <w:pPr>
        <w:autoSpaceDE w:val="0"/>
        <w:autoSpaceDN w:val="0"/>
        <w:adjustRightInd w:val="0"/>
        <w:ind w:left="380" w:hanging="360"/>
        <w:jc w:val="left"/>
        <w:rPr>
          <w:rFonts w:ascii="Arial Narrow" w:hAnsi="Arial Narrow" w:cs="ArialMT"/>
          <w:kern w:val="0"/>
          <w:szCs w:val="21"/>
        </w:rPr>
      </w:pPr>
      <w:r w:rsidRPr="009C0863">
        <w:rPr>
          <w:rFonts w:ascii="Arial Narrow" w:hAnsi="Arial Narrow" w:cs="ArialMT"/>
          <w:kern w:val="0"/>
          <w:szCs w:val="21"/>
        </w:rPr>
        <w:t>2.5 View the stained gel using a standard transilluminator (302 or 312 nm).</w:t>
      </w:r>
    </w:p>
    <w:p w:rsidR="009C0863" w:rsidRDefault="009C0863" w:rsidP="008D6470">
      <w:pPr>
        <w:autoSpaceDE w:val="0"/>
        <w:autoSpaceDN w:val="0"/>
        <w:adjustRightInd w:val="0"/>
        <w:ind w:left="380" w:hanging="360"/>
        <w:jc w:val="left"/>
        <w:rPr>
          <w:rFonts w:ascii="Arial Narrow" w:hAnsi="Arial Narrow" w:cs="ArialMT"/>
          <w:kern w:val="0"/>
          <w:szCs w:val="21"/>
        </w:rPr>
      </w:pPr>
      <w:r w:rsidRPr="009C0863">
        <w:rPr>
          <w:rFonts w:ascii="Arial Narrow" w:hAnsi="Arial Narrow" w:cs="ArialMT"/>
          <w:kern w:val="0"/>
          <w:szCs w:val="21"/>
        </w:rPr>
        <w:t xml:space="preserve">2.6 Unused agarose containing </w:t>
      </w:r>
      <w:r w:rsidR="00D96713">
        <w:rPr>
          <w:rFonts w:ascii="Arial Narrow" w:hAnsi="Arial Narrow" w:cs="ArialMT" w:hint="eastAsia"/>
          <w:szCs w:val="21"/>
        </w:rPr>
        <w:t>MesRed</w:t>
      </w:r>
      <w:r w:rsidRPr="009C0863">
        <w:rPr>
          <w:rFonts w:ascii="Arial Narrow" w:hAnsi="Arial Narrow" w:cs="ArialMT"/>
          <w:kern w:val="0"/>
          <w:szCs w:val="21"/>
        </w:rPr>
        <w:t xml:space="preserve"> can be remelted to cast more gels, but it may be necessary to add more dye for optimal signal. We do not recommend storing agarose containing </w:t>
      </w:r>
      <w:r w:rsidR="00D96713">
        <w:rPr>
          <w:rFonts w:ascii="Arial Narrow" w:hAnsi="Arial Narrow" w:cs="ArialMT" w:hint="eastAsia"/>
          <w:szCs w:val="21"/>
        </w:rPr>
        <w:t>MesRed</w:t>
      </w:r>
      <w:r w:rsidRPr="009C0863">
        <w:rPr>
          <w:rFonts w:ascii="Arial Narrow" w:hAnsi="Arial Narrow" w:cs="ArialMT"/>
          <w:kern w:val="0"/>
          <w:szCs w:val="21"/>
        </w:rPr>
        <w:t xml:space="preserve"> in molten form (i.e., at 50</w:t>
      </w:r>
      <w:r>
        <w:rPr>
          <w:rFonts w:ascii="Arial" w:hAnsi="Arial" w:cs="Arial"/>
          <w:color w:val="333333"/>
          <w:sz w:val="20"/>
          <w:szCs w:val="20"/>
        </w:rPr>
        <w:t>°C</w:t>
      </w:r>
      <w:r w:rsidRPr="009C0863">
        <w:rPr>
          <w:rFonts w:ascii="Arial Narrow" w:hAnsi="Arial Narrow" w:cs="ArialMT"/>
          <w:kern w:val="0"/>
          <w:szCs w:val="21"/>
        </w:rPr>
        <w:t>) for more than a few days. Precast gels containing</w:t>
      </w:r>
      <w:r w:rsidRPr="009C0863">
        <w:rPr>
          <w:rFonts w:ascii="Arial Narrow" w:hAnsi="Arial Narrow" w:cs="ArialMT" w:hint="eastAsia"/>
          <w:szCs w:val="21"/>
        </w:rPr>
        <w:t xml:space="preserve"> </w:t>
      </w:r>
      <w:r w:rsidR="00D96713">
        <w:rPr>
          <w:rFonts w:ascii="Arial Narrow" w:hAnsi="Arial Narrow" w:cs="ArialMT" w:hint="eastAsia"/>
          <w:szCs w:val="21"/>
        </w:rPr>
        <w:t>MesRed</w:t>
      </w:r>
      <w:r w:rsidRPr="009C0863">
        <w:rPr>
          <w:rFonts w:ascii="Arial Narrow" w:hAnsi="Arial Narrow" w:cs="ArialMT"/>
          <w:kern w:val="0"/>
          <w:szCs w:val="21"/>
        </w:rPr>
        <w:t xml:space="preserve"> can be stored at 4</w:t>
      </w:r>
      <w:r>
        <w:rPr>
          <w:rFonts w:ascii="Arial" w:hAnsi="Arial" w:cs="Arial"/>
          <w:color w:val="333333"/>
          <w:sz w:val="20"/>
          <w:szCs w:val="20"/>
        </w:rPr>
        <w:t>°C</w:t>
      </w:r>
      <w:r w:rsidRPr="009C0863">
        <w:rPr>
          <w:rFonts w:ascii="Arial Narrow" w:hAnsi="Arial Narrow" w:cs="ArialMT"/>
          <w:kern w:val="0"/>
          <w:szCs w:val="21"/>
        </w:rPr>
        <w:t xml:space="preserve"> for future use. </w:t>
      </w:r>
    </w:p>
    <w:p w:rsidR="008D6470" w:rsidRPr="009C0863" w:rsidRDefault="008D6470" w:rsidP="008D6470">
      <w:pPr>
        <w:autoSpaceDE w:val="0"/>
        <w:autoSpaceDN w:val="0"/>
        <w:adjustRightInd w:val="0"/>
        <w:ind w:left="380" w:hanging="360"/>
        <w:jc w:val="left"/>
        <w:rPr>
          <w:rFonts w:ascii="Arial Narrow" w:hAnsi="Arial Narrow" w:cs="ArialMT"/>
          <w:kern w:val="0"/>
          <w:szCs w:val="21"/>
        </w:rPr>
      </w:pPr>
    </w:p>
    <w:p w:rsidR="008D6470" w:rsidRPr="008D6470" w:rsidRDefault="008D6470" w:rsidP="008D6470">
      <w:pPr>
        <w:autoSpaceDE w:val="0"/>
        <w:autoSpaceDN w:val="0"/>
        <w:adjustRightInd w:val="0"/>
        <w:spacing w:line="241" w:lineRule="atLeast"/>
        <w:jc w:val="center"/>
        <w:rPr>
          <w:rFonts w:ascii="Arial Narrow" w:hAnsi="Arial Narrow" w:cs="ArialMT"/>
          <w:b/>
          <w:kern w:val="0"/>
          <w:sz w:val="24"/>
          <w:szCs w:val="24"/>
        </w:rPr>
      </w:pPr>
      <w:r w:rsidRPr="008D6470">
        <w:rPr>
          <w:rFonts w:ascii="Arial Narrow" w:hAnsi="Arial Narrow" w:cs="ArialMT"/>
          <w:b/>
          <w:kern w:val="0"/>
          <w:sz w:val="24"/>
          <w:szCs w:val="24"/>
        </w:rPr>
        <w:t>Spectral Properties</w:t>
      </w:r>
    </w:p>
    <w:p w:rsidR="001A1284" w:rsidRDefault="008D6470" w:rsidP="008D6470">
      <w:pPr>
        <w:spacing w:line="360" w:lineRule="auto"/>
        <w:jc w:val="center"/>
        <w:rPr>
          <w:rFonts w:ascii="Arial Narrow" w:hAnsi="Arial Narrow" w:cs="ArialMT"/>
          <w:kern w:val="0"/>
          <w:szCs w:val="21"/>
        </w:rPr>
      </w:pPr>
      <w:r>
        <w:rPr>
          <w:rFonts w:ascii="Arial Narrow" w:hAnsi="Arial Narrow" w:cs="ArialMT"/>
          <w:noProof/>
          <w:kern w:val="0"/>
          <w:szCs w:val="21"/>
        </w:rPr>
        <w:drawing>
          <wp:inline distT="0" distB="0" distL="0" distR="0">
            <wp:extent cx="2447925" cy="1477993"/>
            <wp:effectExtent l="19050" t="0" r="9525" b="0"/>
            <wp:docPr id="4" name="图片 1" descr="C:\Users\LuoTing\AppData\Roaming\Tencent\Users\106399756\QQ\WinTemp\RichOle\7KV4YLJTA@(W(RXQP(A@X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oTing\AppData\Roaming\Tencent\Users\106399756\QQ\WinTemp\RichOle\7KV4YLJTA@(W(RXQP(A@XH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531" cy="147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470" w:rsidRDefault="008D6470" w:rsidP="008D6470">
      <w:pPr>
        <w:autoSpaceDE w:val="0"/>
        <w:autoSpaceDN w:val="0"/>
        <w:adjustRightInd w:val="0"/>
        <w:spacing w:line="241" w:lineRule="atLeast"/>
        <w:jc w:val="left"/>
        <w:rPr>
          <w:rFonts w:ascii="Arial Narrow" w:hAnsi="Arial Narrow" w:cs="ArialMT"/>
          <w:kern w:val="0"/>
          <w:szCs w:val="21"/>
        </w:rPr>
      </w:pPr>
      <w:r w:rsidRPr="008D6470">
        <w:rPr>
          <w:rFonts w:ascii="Arial Narrow" w:hAnsi="Arial Narrow" w:cs="ArialMT"/>
          <w:kern w:val="0"/>
          <w:szCs w:val="21"/>
        </w:rPr>
        <w:t>Figure 1. Excitation (left) and</w:t>
      </w:r>
      <w:r>
        <w:rPr>
          <w:rFonts w:ascii="Arial Narrow" w:hAnsi="Arial Narrow" w:cs="ArialMT"/>
          <w:kern w:val="0"/>
          <w:szCs w:val="21"/>
        </w:rPr>
        <w:t xml:space="preserve"> emission (right) spectra of </w:t>
      </w:r>
      <w:r w:rsidR="00D96713">
        <w:rPr>
          <w:rFonts w:ascii="Arial Narrow" w:hAnsi="Arial Narrow" w:cs="ArialMT" w:hint="eastAsia"/>
          <w:kern w:val="0"/>
          <w:szCs w:val="21"/>
        </w:rPr>
        <w:t>MesRed</w:t>
      </w:r>
      <w:r w:rsidRPr="008D6470">
        <w:rPr>
          <w:rFonts w:ascii="Arial Narrow" w:hAnsi="Arial Narrow" w:cs="ArialMT"/>
          <w:kern w:val="0"/>
          <w:szCs w:val="21"/>
        </w:rPr>
        <w:t xml:space="preserve"> bound to dsDNA in TBE.</w:t>
      </w:r>
    </w:p>
    <w:p w:rsidR="008D6470" w:rsidRPr="008D6470" w:rsidRDefault="008D6470" w:rsidP="008D6470">
      <w:pPr>
        <w:autoSpaceDE w:val="0"/>
        <w:autoSpaceDN w:val="0"/>
        <w:adjustRightInd w:val="0"/>
        <w:spacing w:line="241" w:lineRule="atLeast"/>
        <w:jc w:val="left"/>
        <w:rPr>
          <w:rFonts w:ascii="Arial Narrow" w:hAnsi="Arial Narrow" w:cs="ArialMT"/>
          <w:kern w:val="0"/>
          <w:szCs w:val="21"/>
        </w:rPr>
      </w:pPr>
    </w:p>
    <w:p w:rsidR="001A1284" w:rsidRPr="00031518" w:rsidRDefault="001A1284" w:rsidP="008D6470">
      <w:pPr>
        <w:spacing w:line="360" w:lineRule="auto"/>
        <w:jc w:val="center"/>
        <w:rPr>
          <w:rFonts w:ascii="Arial Narrow" w:hAnsi="Arial Narrow" w:cs="ArialMT"/>
          <w:kern w:val="0"/>
          <w:szCs w:val="21"/>
        </w:rPr>
      </w:pPr>
      <w:r w:rsidRPr="00031518">
        <w:rPr>
          <w:rFonts w:ascii="Arial Narrow" w:hAnsi="Arial Narrow" w:cs="ArialMT"/>
          <w:noProof/>
          <w:kern w:val="0"/>
          <w:szCs w:val="21"/>
        </w:rPr>
        <w:drawing>
          <wp:inline distT="0" distB="0" distL="0" distR="0">
            <wp:extent cx="2781300" cy="564801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281" cy="56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284" w:rsidRPr="009C0863" w:rsidRDefault="00BF7AF1" w:rsidP="00200988">
      <w:pPr>
        <w:autoSpaceDE w:val="0"/>
        <w:autoSpaceDN w:val="0"/>
        <w:adjustRightInd w:val="0"/>
        <w:spacing w:beforeLines="50" w:line="360" w:lineRule="auto"/>
        <w:jc w:val="center"/>
        <w:rPr>
          <w:rFonts w:ascii="Arial Narrow" w:hAnsi="Arial Narrow"/>
          <w:b/>
          <w:i/>
          <w:sz w:val="28"/>
          <w:szCs w:val="28"/>
        </w:rPr>
      </w:pPr>
      <w:r w:rsidRPr="009C0863">
        <w:rPr>
          <w:rFonts w:ascii="Arial Narrow" w:hAnsi="Arial Narrow" w:cs="ArialMT"/>
          <w:b/>
          <w:i/>
          <w:kern w:val="0"/>
          <w:sz w:val="28"/>
          <w:szCs w:val="28"/>
        </w:rPr>
        <w:t>F</w:t>
      </w:r>
      <w:r w:rsidRPr="009C0863">
        <w:rPr>
          <w:rFonts w:ascii="Arial Narrow" w:hAnsi="Arial Narrow"/>
          <w:b/>
          <w:i/>
          <w:sz w:val="28"/>
          <w:szCs w:val="28"/>
        </w:rPr>
        <w:t>or Research Only</w:t>
      </w:r>
    </w:p>
    <w:sectPr w:rsidR="001A1284" w:rsidRPr="009C0863" w:rsidSect="0071109A">
      <w:footerReference w:type="default" r:id="rId10"/>
      <w:pgSz w:w="11906" w:h="16838"/>
      <w:pgMar w:top="567" w:right="567" w:bottom="567" w:left="56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133" w:rsidRDefault="00DC2133" w:rsidP="00EF68C2">
      <w:r>
        <w:separator/>
      </w:r>
    </w:p>
  </w:endnote>
  <w:endnote w:type="continuationSeparator" w:id="0">
    <w:p w:rsidR="00DC2133" w:rsidRDefault="00DC2133" w:rsidP="00EF6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B6" w:rsidRDefault="00CB18B6" w:rsidP="00CB18B6">
    <w:pPr>
      <w:pStyle w:val="a4"/>
      <w:ind w:firstLineChars="850" w:firstLine="1536"/>
    </w:pPr>
    <w:r>
      <w:rPr>
        <w:rFonts w:hint="eastAsia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-73660</wp:posOffset>
          </wp:positionV>
          <wp:extent cx="942975" cy="333375"/>
          <wp:effectExtent l="19050" t="0" r="0" b="0"/>
          <wp:wrapNone/>
          <wp:docPr id="3" name="图片 2" descr="MES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SG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18B6">
      <w:rPr>
        <w:rFonts w:hint="eastAsia"/>
        <w:b/>
      </w:rPr>
      <w:t>MesGen Biotechnology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133" w:rsidRDefault="00DC2133" w:rsidP="00EF68C2">
      <w:r>
        <w:separator/>
      </w:r>
    </w:p>
  </w:footnote>
  <w:footnote w:type="continuationSeparator" w:id="0">
    <w:p w:rsidR="00DC2133" w:rsidRDefault="00DC2133" w:rsidP="00EF6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5FAA"/>
    <w:multiLevelType w:val="multilevel"/>
    <w:tmpl w:val="4DCAA6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8C2"/>
    <w:rsid w:val="00031518"/>
    <w:rsid w:val="00042F87"/>
    <w:rsid w:val="001958C9"/>
    <w:rsid w:val="001A0879"/>
    <w:rsid w:val="001A1284"/>
    <w:rsid w:val="001C1AA3"/>
    <w:rsid w:val="00200988"/>
    <w:rsid w:val="00211544"/>
    <w:rsid w:val="00242F09"/>
    <w:rsid w:val="00425D06"/>
    <w:rsid w:val="005C32CD"/>
    <w:rsid w:val="006A3F79"/>
    <w:rsid w:val="0071109A"/>
    <w:rsid w:val="0088445D"/>
    <w:rsid w:val="008A3E12"/>
    <w:rsid w:val="008D6470"/>
    <w:rsid w:val="008F0A47"/>
    <w:rsid w:val="008F4061"/>
    <w:rsid w:val="009C0863"/>
    <w:rsid w:val="00A43BD1"/>
    <w:rsid w:val="00B31B86"/>
    <w:rsid w:val="00B74C16"/>
    <w:rsid w:val="00BA1787"/>
    <w:rsid w:val="00BF7AF1"/>
    <w:rsid w:val="00CB18B6"/>
    <w:rsid w:val="00D016F2"/>
    <w:rsid w:val="00D85BBC"/>
    <w:rsid w:val="00D96713"/>
    <w:rsid w:val="00DC2133"/>
    <w:rsid w:val="00E030A8"/>
    <w:rsid w:val="00E1520E"/>
    <w:rsid w:val="00E76797"/>
    <w:rsid w:val="00EF34B0"/>
    <w:rsid w:val="00EF68C2"/>
    <w:rsid w:val="00F1112A"/>
    <w:rsid w:val="00F413A7"/>
    <w:rsid w:val="00F87315"/>
    <w:rsid w:val="00FB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7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A3F79"/>
    <w:pPr>
      <w:widowControl/>
      <w:spacing w:after="21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6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68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6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68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68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68C2"/>
    <w:rPr>
      <w:sz w:val="18"/>
      <w:szCs w:val="18"/>
    </w:rPr>
  </w:style>
  <w:style w:type="character" w:customStyle="1" w:styleId="name10">
    <w:name w:val="name10"/>
    <w:basedOn w:val="a0"/>
    <w:rsid w:val="00EF68C2"/>
    <w:rPr>
      <w:b/>
      <w:bCs/>
      <w:sz w:val="20"/>
      <w:szCs w:val="20"/>
    </w:rPr>
  </w:style>
  <w:style w:type="character" w:customStyle="1" w:styleId="value7">
    <w:name w:val="value7"/>
    <w:basedOn w:val="a0"/>
    <w:rsid w:val="00EF68C2"/>
  </w:style>
  <w:style w:type="character" w:customStyle="1" w:styleId="st">
    <w:name w:val="st"/>
    <w:basedOn w:val="a0"/>
    <w:rsid w:val="00EF68C2"/>
  </w:style>
  <w:style w:type="table" w:styleId="a6">
    <w:name w:val="Table Grid"/>
    <w:basedOn w:val="a1"/>
    <w:uiPriority w:val="59"/>
    <w:rsid w:val="00D8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6A3F79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6A3F79"/>
    <w:rPr>
      <w:b/>
      <w:bCs/>
      <w:color w:val="000000"/>
      <w:u w:val="single"/>
    </w:rPr>
  </w:style>
  <w:style w:type="character" w:styleId="a8">
    <w:name w:val="Strong"/>
    <w:basedOn w:val="a0"/>
    <w:uiPriority w:val="22"/>
    <w:qFormat/>
    <w:rsid w:val="006A3F79"/>
    <w:rPr>
      <w:b/>
      <w:bCs/>
    </w:rPr>
  </w:style>
  <w:style w:type="paragraph" w:styleId="a9">
    <w:name w:val="Normal (Web)"/>
    <w:basedOn w:val="a"/>
    <w:uiPriority w:val="99"/>
    <w:semiHidden/>
    <w:unhideWhenUsed/>
    <w:rsid w:val="006A3F79"/>
    <w:pPr>
      <w:widowControl/>
      <w:spacing w:after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0">
    <w:name w:val="Pa0"/>
    <w:basedOn w:val="a"/>
    <w:next w:val="a"/>
    <w:uiPriority w:val="99"/>
    <w:rsid w:val="00031518"/>
    <w:pPr>
      <w:autoSpaceDE w:val="0"/>
      <w:autoSpaceDN w:val="0"/>
      <w:adjustRightInd w:val="0"/>
      <w:spacing w:line="241" w:lineRule="atLeast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A00">
    <w:name w:val="A0"/>
    <w:uiPriority w:val="99"/>
    <w:rsid w:val="00031518"/>
    <w:rPr>
      <w:color w:val="000000"/>
      <w:sz w:val="16"/>
      <w:szCs w:val="16"/>
    </w:rPr>
  </w:style>
  <w:style w:type="character" w:customStyle="1" w:styleId="A50">
    <w:name w:val="A5"/>
    <w:uiPriority w:val="99"/>
    <w:rsid w:val="00031518"/>
    <w:rPr>
      <w:rFonts w:ascii="Arial Narrow" w:hAnsi="Arial Narrow" w:cs="Arial Narrow"/>
      <w:color w:val="000000"/>
      <w:sz w:val="9"/>
      <w:szCs w:val="9"/>
    </w:rPr>
  </w:style>
  <w:style w:type="paragraph" w:customStyle="1" w:styleId="Default">
    <w:name w:val="Default"/>
    <w:rsid w:val="009C086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9C0863"/>
    <w:pPr>
      <w:spacing w:after="80"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9C0863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9C0863"/>
    <w:pPr>
      <w:spacing w:line="241" w:lineRule="atLeast"/>
    </w:pPr>
    <w:rPr>
      <w:color w:val="auto"/>
    </w:rPr>
  </w:style>
  <w:style w:type="character" w:customStyle="1" w:styleId="A10">
    <w:name w:val="A1"/>
    <w:uiPriority w:val="99"/>
    <w:rsid w:val="008D6470"/>
    <w:rPr>
      <w:rFonts w:cs="Arial Narrow"/>
      <w:color w:val="221E1F"/>
      <w:sz w:val="14"/>
      <w:szCs w:val="14"/>
    </w:rPr>
  </w:style>
  <w:style w:type="character" w:customStyle="1" w:styleId="A20">
    <w:name w:val="A2"/>
    <w:uiPriority w:val="99"/>
    <w:rsid w:val="008D6470"/>
    <w:rPr>
      <w:rFonts w:cs="Arial Narrow"/>
      <w:color w:val="221E1F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9680">
              <w:marLeft w:val="-15"/>
              <w:marRight w:val="-15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5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Luo Ting</cp:lastModifiedBy>
  <cp:revision>11</cp:revision>
  <cp:lastPrinted>2014-03-14T13:59:00Z</cp:lastPrinted>
  <dcterms:created xsi:type="dcterms:W3CDTF">2014-02-18T06:53:00Z</dcterms:created>
  <dcterms:modified xsi:type="dcterms:W3CDTF">2015-03-20T14:27:00Z</dcterms:modified>
</cp:coreProperties>
</file>