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639"/>
      </w:tblGrid>
      <w:tr w:rsidR="00F413A7" w:rsidTr="00425D06">
        <w:tc>
          <w:tcPr>
            <w:tcW w:w="9639" w:type="dxa"/>
            <w:shd w:val="clear" w:color="auto" w:fill="C6D9F1" w:themeFill="text2" w:themeFillTint="33"/>
          </w:tcPr>
          <w:p w:rsidR="00F413A7" w:rsidRPr="00683D6F" w:rsidRDefault="00F413A7" w:rsidP="00F413A7">
            <w:pPr>
              <w:spacing w:line="360" w:lineRule="auto"/>
              <w:ind w:right="640"/>
              <w:rPr>
                <w:rFonts w:ascii="Arial Unicode MS" w:eastAsia="Arial Unicode MS" w:hAnsi="Arial Unicode MS" w:cs="Arial Unicode MS"/>
                <w:kern w:val="0"/>
                <w:sz w:val="30"/>
                <w:szCs w:val="30"/>
              </w:rPr>
            </w:pPr>
            <w:r w:rsidRPr="00683D6F">
              <w:rPr>
                <w:rFonts w:ascii="Arial Unicode MS" w:eastAsia="Arial Unicode MS" w:hAnsi="Arial Unicode MS" w:cs="Arial Unicode MS"/>
                <w:noProof/>
                <w:kern w:val="0"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4059555</wp:posOffset>
                  </wp:positionH>
                  <wp:positionV relativeFrom="paragraph">
                    <wp:posOffset>38100</wp:posOffset>
                  </wp:positionV>
                  <wp:extent cx="1962150" cy="695325"/>
                  <wp:effectExtent l="19050" t="0" r="0" b="0"/>
                  <wp:wrapNone/>
                  <wp:docPr id="2" name="图片 0" descr="MES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SGEN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3D6F" w:rsidRPr="00683D6F">
              <w:rPr>
                <w:rFonts w:ascii="Arial Unicode MS" w:eastAsia="Arial Unicode MS" w:hAnsi="Arial Unicode MS" w:cs="Arial Unicode MS"/>
                <w:kern w:val="0"/>
                <w:sz w:val="30"/>
                <w:szCs w:val="30"/>
              </w:rPr>
              <w:t>JC-1 Mitochondrial Membrane Potential Dye</w:t>
            </w:r>
          </w:p>
          <w:p w:rsidR="00F413A7" w:rsidRPr="0069128F" w:rsidRDefault="00F413A7" w:rsidP="00683D6F">
            <w:pPr>
              <w:spacing w:line="36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 w:rsidRPr="0069128F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>#</w:t>
            </w:r>
            <w:r w:rsidRPr="0069128F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 xml:space="preserve"> MG</w:t>
            </w:r>
            <w:r w:rsidR="00683D6F" w:rsidRPr="0069128F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>9621</w:t>
            </w:r>
          </w:p>
        </w:tc>
      </w:tr>
    </w:tbl>
    <w:p w:rsidR="00D71375" w:rsidRPr="00D71375" w:rsidRDefault="00AE7DE1" w:rsidP="0069128F">
      <w:pPr>
        <w:spacing w:beforeLines="100" w:line="360" w:lineRule="auto"/>
        <w:rPr>
          <w:rFonts w:ascii="Arial Unicode MS" w:eastAsia="Arial Unicode MS" w:hAnsi="Arial Unicode MS" w:cs="Arial Unicode MS"/>
          <w:szCs w:val="21"/>
        </w:rPr>
      </w:pPr>
      <w:r>
        <w:rPr>
          <w:rFonts w:ascii="Arial-BoldMT" w:hAnsi="Arial-BoldMT" w:cs="Arial-BoldMT"/>
          <w:b/>
          <w:bCs/>
          <w:noProof/>
          <w:kern w:val="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4356735</wp:posOffset>
            </wp:positionH>
            <wp:positionV relativeFrom="paragraph">
              <wp:posOffset>255270</wp:posOffset>
            </wp:positionV>
            <wp:extent cx="1733550" cy="742950"/>
            <wp:effectExtent l="19050" t="0" r="0" b="0"/>
            <wp:wrapNone/>
            <wp:docPr id="1" name="图片 0" descr="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u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1375" w:rsidRPr="00D71375">
        <w:rPr>
          <w:rFonts w:ascii="Arial-BoldMT" w:hAnsi="Arial-BoldMT" w:cs="Arial-BoldMT"/>
          <w:b/>
          <w:bCs/>
          <w:kern w:val="0"/>
          <w:szCs w:val="21"/>
        </w:rPr>
        <w:t xml:space="preserve">Product Name: </w:t>
      </w:r>
      <w:r w:rsidR="00D71375" w:rsidRPr="00D71375">
        <w:rPr>
          <w:rFonts w:ascii="ArialMT" w:hAnsi="ArialMT" w:cs="ArialMT"/>
          <w:kern w:val="0"/>
          <w:szCs w:val="21"/>
        </w:rPr>
        <w:t>JC-1 Mitochondrial Membrane Potential Dye</w:t>
      </w:r>
    </w:p>
    <w:p w:rsidR="00D71375" w:rsidRPr="00D71375" w:rsidRDefault="00315FD7" w:rsidP="00AE7DE1">
      <w:pPr>
        <w:spacing w:line="360" w:lineRule="auto"/>
        <w:rPr>
          <w:rFonts w:ascii="Arial-BoldMT" w:hAnsi="Arial-BoldMT" w:cs="Arial-BoldMT"/>
          <w:b/>
          <w:bCs/>
          <w:kern w:val="0"/>
          <w:szCs w:val="21"/>
        </w:rPr>
      </w:pPr>
      <w:r>
        <w:rPr>
          <w:rFonts w:ascii="Arial-BoldMT" w:hAnsi="Arial-BoldMT" w:cs="Arial-BoldMT"/>
          <w:b/>
          <w:bCs/>
          <w:kern w:val="0"/>
          <w:szCs w:val="21"/>
        </w:rPr>
        <w:t>Cat</w:t>
      </w:r>
      <w:r>
        <w:rPr>
          <w:rFonts w:ascii="Arial-BoldMT" w:hAnsi="Arial-BoldMT" w:cs="Arial-BoldMT" w:hint="eastAsia"/>
          <w:b/>
          <w:bCs/>
          <w:kern w:val="0"/>
          <w:szCs w:val="21"/>
        </w:rPr>
        <w:t>.No.</w:t>
      </w:r>
      <w:r w:rsidR="00D71375" w:rsidRPr="00D71375">
        <w:rPr>
          <w:rFonts w:ascii="Arial-BoldMT" w:hAnsi="Arial-BoldMT" w:cs="Arial-BoldMT" w:hint="eastAsia"/>
          <w:b/>
          <w:bCs/>
          <w:kern w:val="0"/>
          <w:szCs w:val="21"/>
        </w:rPr>
        <w:t xml:space="preserve"> </w:t>
      </w:r>
      <w:r w:rsidR="00D71375" w:rsidRPr="00D71375">
        <w:rPr>
          <w:rFonts w:ascii="ArialMT" w:hAnsi="ArialMT" w:cs="ArialMT"/>
          <w:kern w:val="0"/>
          <w:szCs w:val="21"/>
        </w:rPr>
        <w:t>MG</w:t>
      </w:r>
      <w:r w:rsidR="00D71375" w:rsidRPr="00D71375">
        <w:rPr>
          <w:rFonts w:ascii="ArialMT" w:hAnsi="ArialMT" w:cs="ArialMT" w:hint="eastAsia"/>
          <w:kern w:val="0"/>
          <w:szCs w:val="21"/>
        </w:rPr>
        <w:t>9621</w:t>
      </w:r>
      <w:r w:rsidR="00D71375">
        <w:rPr>
          <w:rFonts w:ascii="ArialMT" w:hAnsi="ArialMT" w:cs="ArialMT" w:hint="eastAsia"/>
          <w:kern w:val="0"/>
          <w:szCs w:val="21"/>
        </w:rPr>
        <w:t xml:space="preserve">   </w:t>
      </w:r>
      <w:r w:rsidR="00AE7DE1">
        <w:rPr>
          <w:rFonts w:ascii="ArialMT" w:hAnsi="ArialMT" w:cs="ArialMT" w:hint="eastAsia"/>
          <w:kern w:val="0"/>
          <w:szCs w:val="21"/>
        </w:rPr>
        <w:t xml:space="preserve">   </w:t>
      </w:r>
      <w:r>
        <w:rPr>
          <w:rFonts w:ascii="ArialMT" w:hAnsi="ArialMT" w:cs="ArialMT" w:hint="eastAsia"/>
          <w:kern w:val="0"/>
          <w:szCs w:val="21"/>
        </w:rPr>
        <w:t xml:space="preserve">          </w:t>
      </w:r>
      <w:r w:rsidR="00D71375" w:rsidRPr="00D71375">
        <w:rPr>
          <w:rFonts w:ascii="Arial-BoldMT" w:hAnsi="Arial-BoldMT" w:cs="Arial-BoldMT"/>
          <w:b/>
          <w:bCs/>
          <w:kern w:val="0"/>
          <w:szCs w:val="21"/>
        </w:rPr>
        <w:t xml:space="preserve">Lot </w:t>
      </w:r>
      <w:r>
        <w:rPr>
          <w:rFonts w:ascii="Arial-BoldMT" w:hAnsi="Arial-BoldMT" w:cs="Arial-BoldMT" w:hint="eastAsia"/>
          <w:b/>
          <w:bCs/>
          <w:kern w:val="0"/>
          <w:szCs w:val="21"/>
        </w:rPr>
        <w:t>No.</w:t>
      </w:r>
      <w:r w:rsidR="00D71375" w:rsidRPr="00D71375">
        <w:rPr>
          <w:rFonts w:ascii="Arial-BoldMT" w:hAnsi="Arial-BoldMT" w:cs="Arial-BoldMT" w:hint="eastAsia"/>
          <w:b/>
          <w:bCs/>
          <w:kern w:val="0"/>
          <w:szCs w:val="21"/>
        </w:rPr>
        <w:t xml:space="preserve"> </w:t>
      </w:r>
      <w:r w:rsidR="00D71375" w:rsidRPr="00D71375">
        <w:rPr>
          <w:rFonts w:ascii="Arial-BoldMT" w:hAnsi="Arial-BoldMT" w:cs="Arial-BoldMT" w:hint="eastAsia"/>
          <w:bCs/>
          <w:kern w:val="0"/>
          <w:szCs w:val="21"/>
        </w:rPr>
        <w:t>20140111MGJ</w:t>
      </w:r>
    </w:p>
    <w:p w:rsidR="00AE7DE1" w:rsidRDefault="00D71375" w:rsidP="00AE7DE1">
      <w:pPr>
        <w:spacing w:line="360" w:lineRule="auto"/>
        <w:rPr>
          <w:rFonts w:ascii="ArialMT" w:hAnsi="ArialMT" w:cs="ArialMT"/>
          <w:bCs/>
          <w:kern w:val="0"/>
          <w:szCs w:val="21"/>
        </w:rPr>
      </w:pPr>
      <w:r w:rsidRPr="00D71375">
        <w:rPr>
          <w:rFonts w:ascii="Arial-BoldMT" w:hAnsi="Arial-BoldMT" w:cs="Arial-BoldMT"/>
          <w:b/>
          <w:bCs/>
          <w:kern w:val="0"/>
          <w:szCs w:val="21"/>
        </w:rPr>
        <w:t>Formulation</w:t>
      </w:r>
      <w:r w:rsidRPr="00D71375">
        <w:rPr>
          <w:rFonts w:ascii="Arial-BoldMT" w:hAnsi="Arial-BoldMT" w:cs="Arial-BoldMT" w:hint="eastAsia"/>
          <w:b/>
          <w:bCs/>
          <w:kern w:val="0"/>
          <w:szCs w:val="21"/>
        </w:rPr>
        <w:t xml:space="preserve"> </w:t>
      </w:r>
      <w:r w:rsidRPr="00D71375">
        <w:rPr>
          <w:rFonts w:ascii="Arial-BoldMT" w:hAnsi="Arial-BoldMT" w:cs="Arial-BoldMT"/>
          <w:b/>
          <w:bCs/>
          <w:kern w:val="0"/>
          <w:szCs w:val="21"/>
        </w:rPr>
        <w:t xml:space="preserve">: </w:t>
      </w:r>
      <w:r w:rsidRPr="00D71375">
        <w:rPr>
          <w:rFonts w:ascii="Arial-BoldMT" w:hAnsi="Arial-BoldMT" w:cs="Arial-BoldMT" w:hint="eastAsia"/>
          <w:bCs/>
          <w:kern w:val="0"/>
          <w:szCs w:val="21"/>
        </w:rPr>
        <w:t>Solid</w:t>
      </w:r>
      <w:r w:rsidRPr="00D71375">
        <w:rPr>
          <w:rFonts w:ascii="Arial-BoldMT" w:hAnsi="Arial-BoldMT" w:cs="Arial-BoldMT"/>
          <w:b/>
          <w:bCs/>
          <w:kern w:val="0"/>
          <w:szCs w:val="21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Cs w:val="21"/>
        </w:rPr>
        <w:t xml:space="preserve">        </w:t>
      </w:r>
      <w:r w:rsidR="00AE7DE1">
        <w:rPr>
          <w:rFonts w:ascii="Arial-BoldMT" w:hAnsi="Arial-BoldMT" w:cs="Arial-BoldMT" w:hint="eastAsia"/>
          <w:b/>
          <w:bCs/>
          <w:kern w:val="0"/>
          <w:szCs w:val="21"/>
        </w:rPr>
        <w:t xml:space="preserve">    CAS : </w:t>
      </w:r>
      <w:r w:rsidR="00AE7DE1" w:rsidRPr="00AE7DE1">
        <w:rPr>
          <w:rFonts w:ascii="ArialMT" w:hAnsi="ArialMT" w:cs="ArialMT"/>
          <w:bCs/>
          <w:kern w:val="0"/>
          <w:szCs w:val="21"/>
        </w:rPr>
        <w:t>3520-43-2</w:t>
      </w:r>
    </w:p>
    <w:p w:rsidR="00315FD7" w:rsidRDefault="00315FD7" w:rsidP="00AE7DE1">
      <w:pPr>
        <w:spacing w:line="360" w:lineRule="auto"/>
        <w:rPr>
          <w:rStyle w:val="a7"/>
        </w:rPr>
      </w:pPr>
      <w:r w:rsidRPr="00315FD7">
        <w:rPr>
          <w:rFonts w:ascii="Arial-BoldMT" w:hAnsi="Arial-BoldMT" w:cs="Arial-BoldMT" w:hint="eastAsia"/>
          <w:b/>
          <w:bCs/>
          <w:kern w:val="0"/>
          <w:szCs w:val="21"/>
        </w:rPr>
        <w:t xml:space="preserve">MW : </w:t>
      </w:r>
      <w:r>
        <w:rPr>
          <w:rFonts w:ascii="ArialMT" w:hAnsi="ArialMT" w:cs="ArialMT" w:hint="eastAsia"/>
          <w:bCs/>
          <w:kern w:val="0"/>
          <w:szCs w:val="21"/>
        </w:rPr>
        <w:t xml:space="preserve">652.23                    </w:t>
      </w:r>
      <w:r w:rsidRPr="00315FD7">
        <w:rPr>
          <w:rFonts w:ascii="Arial-BoldMT" w:hAnsi="Arial-BoldMT" w:cs="Arial-BoldMT" w:hint="eastAsia"/>
          <w:b/>
          <w:bCs/>
          <w:kern w:val="0"/>
          <w:szCs w:val="21"/>
        </w:rPr>
        <w:t>Purity :</w:t>
      </w:r>
      <w:r>
        <w:rPr>
          <w:rFonts w:ascii="ArialMT" w:hAnsi="ArialMT" w:cs="ArialMT" w:hint="eastAsia"/>
          <w:bCs/>
          <w:kern w:val="0"/>
          <w:szCs w:val="21"/>
        </w:rPr>
        <w:t xml:space="preserve"> </w:t>
      </w:r>
      <w:r w:rsidRPr="00315FD7">
        <w:rPr>
          <w:rFonts w:ascii="ArialMT" w:hAnsi="ArialMT" w:cs="ArialMT"/>
          <w:bCs/>
          <w:kern w:val="0"/>
          <w:szCs w:val="21"/>
        </w:rPr>
        <w:t>≥9</w:t>
      </w:r>
      <w:r w:rsidRPr="00315FD7">
        <w:rPr>
          <w:rFonts w:ascii="ArialMT" w:hAnsi="ArialMT" w:cs="ArialMT" w:hint="eastAsia"/>
          <w:bCs/>
          <w:kern w:val="0"/>
          <w:szCs w:val="21"/>
        </w:rPr>
        <w:t>5</w:t>
      </w:r>
      <w:r w:rsidRPr="00315FD7">
        <w:rPr>
          <w:rFonts w:ascii="ArialMT" w:hAnsi="ArialMT" w:cs="ArialMT"/>
          <w:bCs/>
          <w:kern w:val="0"/>
          <w:szCs w:val="21"/>
        </w:rPr>
        <w:t>%</w:t>
      </w:r>
    </w:p>
    <w:p w:rsidR="00D71375" w:rsidRDefault="00D71375" w:rsidP="00AE7DE1">
      <w:pPr>
        <w:spacing w:line="360" w:lineRule="auto"/>
        <w:rPr>
          <w:rFonts w:ascii="Arial-BoldMT" w:hAnsi="Arial-BoldMT" w:cs="Arial-BoldMT"/>
          <w:b/>
          <w:bCs/>
          <w:kern w:val="0"/>
          <w:szCs w:val="21"/>
        </w:rPr>
      </w:pPr>
      <w:r w:rsidRPr="00D71375">
        <w:rPr>
          <w:rFonts w:ascii="Arial-BoldMT" w:hAnsi="Arial-BoldMT" w:cs="Arial-BoldMT"/>
          <w:b/>
          <w:bCs/>
          <w:kern w:val="0"/>
          <w:szCs w:val="21"/>
        </w:rPr>
        <w:t xml:space="preserve">Solubility: </w:t>
      </w:r>
      <w:r w:rsidRPr="00D71375">
        <w:rPr>
          <w:rFonts w:ascii="Arial-BoldMT" w:hAnsi="Arial-BoldMT" w:cs="Arial-BoldMT"/>
          <w:bCs/>
          <w:kern w:val="0"/>
          <w:szCs w:val="21"/>
        </w:rPr>
        <w:t>Soluble in DMSO</w:t>
      </w:r>
      <w:r w:rsidR="00AE7DE1">
        <w:rPr>
          <w:rFonts w:ascii="Arial-BoldMT" w:hAnsi="Arial-BoldMT" w:cs="Arial-BoldMT" w:hint="eastAsia"/>
          <w:b/>
          <w:bCs/>
          <w:kern w:val="0"/>
          <w:szCs w:val="21"/>
        </w:rPr>
        <w:t xml:space="preserve">     </w:t>
      </w:r>
      <w:r w:rsidR="00315FD7">
        <w:rPr>
          <w:rFonts w:ascii="Arial-BoldMT" w:hAnsi="Arial-BoldMT" w:cs="Arial-BoldMT" w:hint="eastAsia"/>
          <w:b/>
          <w:bCs/>
          <w:kern w:val="0"/>
          <w:szCs w:val="21"/>
        </w:rPr>
        <w:t xml:space="preserve"> </w:t>
      </w:r>
      <w:r w:rsidRPr="00D71375">
        <w:rPr>
          <w:rFonts w:ascii="Arial-BoldMT" w:hAnsi="Arial-BoldMT" w:cs="Arial-BoldMT"/>
          <w:b/>
          <w:bCs/>
          <w:kern w:val="0"/>
          <w:szCs w:val="21"/>
        </w:rPr>
        <w:t>Storage</w:t>
      </w:r>
      <w:r w:rsidRPr="00D71375">
        <w:rPr>
          <w:rFonts w:ascii="Arial-BoldMT" w:hAnsi="Arial-BoldMT" w:cs="Arial-BoldMT" w:hint="eastAsia"/>
          <w:b/>
          <w:bCs/>
          <w:kern w:val="0"/>
          <w:szCs w:val="21"/>
        </w:rPr>
        <w:t xml:space="preserve"> </w:t>
      </w:r>
      <w:r w:rsidRPr="00D71375">
        <w:rPr>
          <w:rFonts w:ascii="Arial-BoldMT" w:hAnsi="Arial-BoldMT" w:cs="Arial-BoldMT"/>
          <w:b/>
          <w:bCs/>
          <w:kern w:val="0"/>
          <w:szCs w:val="21"/>
        </w:rPr>
        <w:t xml:space="preserve">: </w:t>
      </w:r>
      <w:r w:rsidRPr="00D71375">
        <w:rPr>
          <w:rFonts w:ascii="ArialMT" w:hAnsi="ArialMT" w:cs="ArialMT"/>
          <w:kern w:val="0"/>
          <w:szCs w:val="21"/>
        </w:rPr>
        <w:t>Store at -20°C</w:t>
      </w:r>
      <w:r>
        <w:rPr>
          <w:rFonts w:ascii="Arial-BoldMT" w:hAnsi="Arial-BoldMT" w:cs="Arial-BoldMT" w:hint="eastAsia"/>
          <w:b/>
          <w:bCs/>
          <w:kern w:val="0"/>
          <w:szCs w:val="21"/>
        </w:rPr>
        <w:t xml:space="preserve"> </w:t>
      </w:r>
    </w:p>
    <w:p w:rsidR="00D71375" w:rsidRPr="0069128F" w:rsidRDefault="00D71375" w:rsidP="0069128F">
      <w:pPr>
        <w:widowControl/>
        <w:spacing w:beforeLines="50"/>
        <w:jc w:val="left"/>
        <w:outlineLvl w:val="4"/>
        <w:rPr>
          <w:rFonts w:ascii="Arial-BoldMT" w:hAnsi="Arial-BoldMT" w:cs="Arial-BoldMT"/>
          <w:b/>
          <w:bCs/>
          <w:kern w:val="0"/>
          <w:sz w:val="28"/>
          <w:szCs w:val="28"/>
        </w:rPr>
      </w:pPr>
      <w:r w:rsidRPr="0069128F">
        <w:rPr>
          <w:rFonts w:ascii="Arial-BoldMT" w:hAnsi="Arial-BoldMT" w:cs="Arial-BoldMT"/>
          <w:b/>
          <w:bCs/>
          <w:kern w:val="0"/>
          <w:sz w:val="28"/>
          <w:szCs w:val="28"/>
        </w:rPr>
        <w:t>Application</w:t>
      </w:r>
    </w:p>
    <w:p w:rsidR="00D71375" w:rsidRDefault="00D71375" w:rsidP="00D71375">
      <w:pPr>
        <w:widowControl/>
        <w:spacing w:line="360" w:lineRule="auto"/>
        <w:rPr>
          <w:rFonts w:ascii="Arial-BoldMT" w:hAnsi="Arial-BoldMT" w:cs="Arial-BoldMT"/>
          <w:bCs/>
          <w:kern w:val="0"/>
          <w:szCs w:val="21"/>
        </w:rPr>
      </w:pPr>
      <w:r w:rsidRPr="00D71375">
        <w:rPr>
          <w:rFonts w:ascii="Arial-BoldMT" w:hAnsi="Arial-BoldMT" w:cs="Arial-BoldMT"/>
          <w:bCs/>
          <w:kern w:val="0"/>
          <w:szCs w:val="21"/>
        </w:rPr>
        <w:t>A dual-emission potential-sensitive probe that can be used to measure mitochondrial membrane potential. JC-1 is a green-fluorescent (λex</w:t>
      </w:r>
      <w:r>
        <w:rPr>
          <w:rFonts w:ascii="Arial-BoldMT" w:hAnsi="Arial-BoldMT" w:cs="Arial-BoldMT" w:hint="eastAsia"/>
          <w:bCs/>
          <w:kern w:val="0"/>
          <w:szCs w:val="21"/>
        </w:rPr>
        <w:t>=</w:t>
      </w:r>
      <w:r w:rsidR="00DA65D8">
        <w:rPr>
          <w:rFonts w:ascii="Arial-BoldMT" w:hAnsi="Arial-BoldMT" w:cs="Arial-BoldMT"/>
          <w:bCs/>
          <w:kern w:val="0"/>
          <w:szCs w:val="21"/>
        </w:rPr>
        <w:t>5</w:t>
      </w:r>
      <w:r w:rsidR="00DA65D8">
        <w:rPr>
          <w:rFonts w:ascii="Arial-BoldMT" w:hAnsi="Arial-BoldMT" w:cs="Arial-BoldMT" w:hint="eastAsia"/>
          <w:bCs/>
          <w:kern w:val="0"/>
          <w:szCs w:val="21"/>
        </w:rPr>
        <w:t>15</w:t>
      </w:r>
      <w:r w:rsidRPr="00D71375">
        <w:rPr>
          <w:rFonts w:ascii="Arial-BoldMT" w:hAnsi="Arial-BoldMT" w:cs="Arial-BoldMT"/>
          <w:bCs/>
          <w:kern w:val="0"/>
          <w:szCs w:val="21"/>
        </w:rPr>
        <w:t xml:space="preserve"> nm) monomer at low membrane potential. At higher potentials, JC-1 forms red-fluorescent (λem</w:t>
      </w:r>
      <w:r>
        <w:rPr>
          <w:rFonts w:ascii="Arial-BoldMT" w:hAnsi="Arial-BoldMT" w:cs="Arial-BoldMT" w:hint="eastAsia"/>
          <w:bCs/>
          <w:kern w:val="0"/>
          <w:szCs w:val="21"/>
        </w:rPr>
        <w:t>=</w:t>
      </w:r>
      <w:r w:rsidRPr="00D71375">
        <w:rPr>
          <w:rFonts w:ascii="Arial-BoldMT" w:hAnsi="Arial-BoldMT" w:cs="Arial-BoldMT"/>
          <w:bCs/>
          <w:kern w:val="0"/>
          <w:szCs w:val="21"/>
        </w:rPr>
        <w:t>5</w:t>
      </w:r>
      <w:r w:rsidR="00DA65D8">
        <w:rPr>
          <w:rFonts w:ascii="Arial-BoldMT" w:hAnsi="Arial-BoldMT" w:cs="Arial-BoldMT" w:hint="eastAsia"/>
          <w:bCs/>
          <w:kern w:val="0"/>
          <w:szCs w:val="21"/>
        </w:rPr>
        <w:t>85</w:t>
      </w:r>
      <w:r w:rsidRPr="00D71375">
        <w:rPr>
          <w:rFonts w:ascii="Arial-BoldMT" w:hAnsi="Arial-BoldMT" w:cs="Arial-BoldMT"/>
          <w:bCs/>
          <w:kern w:val="0"/>
          <w:szCs w:val="21"/>
        </w:rPr>
        <w:t xml:space="preserve"> nm ) "J-aggregates," which exhibit broad excitation and very narrow emission spectra. The ratio of red to green fluorescence of JC-1 is dependent only on membrane potential, and not influenced by mitochondrial size, shape, or density.</w:t>
      </w:r>
    </w:p>
    <w:p w:rsidR="00AE7DE1" w:rsidRPr="0069128F" w:rsidRDefault="00315FD7" w:rsidP="0069128F">
      <w:pPr>
        <w:widowControl/>
        <w:spacing w:beforeLines="50"/>
        <w:jc w:val="left"/>
        <w:outlineLvl w:val="4"/>
        <w:rPr>
          <w:rFonts w:ascii="Arial-BoldMT" w:hAnsi="Arial-BoldMT" w:cs="Arial-BoldMT"/>
          <w:b/>
          <w:bCs/>
          <w:kern w:val="0"/>
          <w:sz w:val="28"/>
          <w:szCs w:val="28"/>
        </w:rPr>
      </w:pPr>
      <w:r w:rsidRPr="0069128F">
        <w:rPr>
          <w:rFonts w:ascii="Arial-BoldMT" w:hAnsi="Arial-BoldMT" w:cs="Arial-BoldMT" w:hint="eastAsia"/>
          <w:b/>
          <w:bCs/>
          <w:kern w:val="0"/>
          <w:sz w:val="28"/>
          <w:szCs w:val="28"/>
        </w:rPr>
        <w:t>R</w:t>
      </w:r>
      <w:r w:rsidRPr="0069128F">
        <w:rPr>
          <w:rFonts w:ascii="Arial-BoldMT" w:hAnsi="Arial-BoldMT" w:cs="Arial-BoldMT"/>
          <w:b/>
          <w:bCs/>
          <w:kern w:val="0"/>
          <w:sz w:val="28"/>
          <w:szCs w:val="28"/>
        </w:rPr>
        <w:t xml:space="preserve">ecommended </w:t>
      </w:r>
      <w:r w:rsidRPr="0069128F">
        <w:rPr>
          <w:rFonts w:ascii="Arial-BoldMT" w:hAnsi="Arial-BoldMT" w:cs="Arial-BoldMT" w:hint="eastAsia"/>
          <w:b/>
          <w:bCs/>
          <w:kern w:val="0"/>
          <w:sz w:val="28"/>
          <w:szCs w:val="28"/>
        </w:rPr>
        <w:t xml:space="preserve">work </w:t>
      </w:r>
      <w:r w:rsidRPr="0069128F">
        <w:rPr>
          <w:rFonts w:ascii="Arial-BoldMT" w:hAnsi="Arial-BoldMT" w:cs="Arial-BoldMT"/>
          <w:b/>
          <w:bCs/>
          <w:kern w:val="0"/>
          <w:sz w:val="28"/>
          <w:szCs w:val="28"/>
        </w:rPr>
        <w:t>concentration</w:t>
      </w:r>
    </w:p>
    <w:p w:rsidR="00315FD7" w:rsidRPr="00315FD7" w:rsidRDefault="00315FD7" w:rsidP="00315FD7">
      <w:pPr>
        <w:widowControl/>
        <w:spacing w:line="360" w:lineRule="auto"/>
        <w:jc w:val="left"/>
        <w:outlineLvl w:val="4"/>
        <w:rPr>
          <w:rFonts w:ascii="Arial-BoldMT" w:hAnsi="Arial-BoldMT" w:cs="Arial-BoldMT"/>
          <w:bCs/>
          <w:kern w:val="0"/>
          <w:szCs w:val="21"/>
        </w:rPr>
      </w:pPr>
      <w:r>
        <w:rPr>
          <w:rFonts w:ascii="Arial-BoldMT" w:hAnsi="Arial-BoldMT" w:cs="Arial-BoldMT" w:hint="eastAsia"/>
          <w:bCs/>
          <w:kern w:val="0"/>
          <w:szCs w:val="21"/>
        </w:rPr>
        <w:t>1-</w:t>
      </w:r>
      <w:r w:rsidRPr="00315FD7">
        <w:rPr>
          <w:rFonts w:ascii="Arial-BoldMT" w:hAnsi="Arial-BoldMT" w:cs="Arial-BoldMT" w:hint="eastAsia"/>
          <w:bCs/>
          <w:kern w:val="0"/>
          <w:szCs w:val="21"/>
        </w:rPr>
        <w:t>20ug/mL</w:t>
      </w:r>
    </w:p>
    <w:p w:rsidR="00D71375" w:rsidRPr="0069128F" w:rsidRDefault="00AE7DE1" w:rsidP="0069128F">
      <w:pPr>
        <w:widowControl/>
        <w:spacing w:beforeLines="50"/>
        <w:jc w:val="left"/>
        <w:outlineLvl w:val="4"/>
        <w:rPr>
          <w:rFonts w:ascii="Arial-BoldMT" w:hAnsi="Arial-BoldMT" w:cs="Arial-BoldMT"/>
          <w:b/>
          <w:bCs/>
          <w:kern w:val="0"/>
          <w:sz w:val="28"/>
          <w:szCs w:val="28"/>
        </w:rPr>
      </w:pPr>
      <w:r w:rsidRPr="0069128F">
        <w:rPr>
          <w:rFonts w:ascii="Arial-BoldMT" w:hAnsi="Arial-BoldMT" w:cs="Arial-BoldMT" w:hint="eastAsia"/>
          <w:b/>
          <w:bCs/>
          <w:kern w:val="0"/>
          <w:sz w:val="28"/>
          <w:szCs w:val="28"/>
        </w:rPr>
        <w:t>Product including</w:t>
      </w:r>
    </w:p>
    <w:tbl>
      <w:tblPr>
        <w:tblW w:w="9781" w:type="dxa"/>
        <w:tblInd w:w="108" w:type="dxa"/>
        <w:tblBorders>
          <w:top w:val="single" w:sz="18" w:space="0" w:color="auto"/>
          <w:bottom w:val="single" w:sz="18" w:space="0" w:color="auto"/>
          <w:insideH w:val="single" w:sz="18" w:space="0" w:color="auto"/>
        </w:tblBorders>
        <w:tblLook w:val="04A0"/>
      </w:tblPr>
      <w:tblGrid>
        <w:gridCol w:w="1985"/>
        <w:gridCol w:w="3544"/>
        <w:gridCol w:w="2409"/>
        <w:gridCol w:w="1843"/>
      </w:tblGrid>
      <w:tr w:rsidR="00D71375" w:rsidRPr="00D71375" w:rsidTr="00D71375">
        <w:trPr>
          <w:trHeight w:val="402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71375" w:rsidRPr="00D71375" w:rsidRDefault="00D71375" w:rsidP="00415E2E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D71375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Cat.No.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71375" w:rsidRPr="00D71375" w:rsidRDefault="00D71375" w:rsidP="00415E2E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D71375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Name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D71375" w:rsidRPr="00D71375" w:rsidRDefault="00D71375" w:rsidP="00415E2E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D71375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Package</w:t>
            </w:r>
          </w:p>
        </w:tc>
        <w:tc>
          <w:tcPr>
            <w:tcW w:w="1843" w:type="dxa"/>
          </w:tcPr>
          <w:p w:rsidR="00D71375" w:rsidRPr="00D71375" w:rsidRDefault="00D71375" w:rsidP="00415E2E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D71375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List price</w:t>
            </w:r>
          </w:p>
        </w:tc>
      </w:tr>
      <w:tr w:rsidR="00AE7DE1" w:rsidRPr="00D71375" w:rsidTr="00D71375">
        <w:trPr>
          <w:trHeight w:val="402"/>
        </w:trPr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AE7DE1" w:rsidRPr="00D71375" w:rsidRDefault="00AE7DE1" w:rsidP="00415E2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71375">
              <w:rPr>
                <w:rFonts w:ascii="微软雅黑" w:eastAsia="微软雅黑" w:hAnsi="微软雅黑" w:cs="宋体" w:hint="eastAsia"/>
                <w:kern w:val="0"/>
                <w:szCs w:val="21"/>
              </w:rPr>
              <w:t>MG7989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-500UG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E7DE1" w:rsidRPr="00D71375" w:rsidRDefault="00AE7DE1" w:rsidP="00415E2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71375">
              <w:rPr>
                <w:rFonts w:ascii="ArialMT" w:hAnsi="ArialMT" w:cs="ArialMT"/>
                <w:kern w:val="0"/>
                <w:szCs w:val="21"/>
              </w:rPr>
              <w:t>JC-1</w:t>
            </w:r>
            <w:r>
              <w:rPr>
                <w:rFonts w:ascii="ArialMT" w:hAnsi="ArialMT" w:cs="ArialMT" w:hint="eastAsia"/>
                <w:kern w:val="0"/>
                <w:szCs w:val="21"/>
              </w:rPr>
              <w:t xml:space="preserve"> (Soild)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E7DE1" w:rsidRPr="00D71375" w:rsidRDefault="00AE7DE1" w:rsidP="00AE7DE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71375">
              <w:rPr>
                <w:rFonts w:ascii="微软雅黑" w:eastAsia="微软雅黑" w:hAnsi="微软雅黑" w:cs="宋体" w:hint="eastAsia"/>
                <w:kern w:val="0"/>
                <w:szCs w:val="21"/>
              </w:rPr>
              <w:t>500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UG</w:t>
            </w:r>
          </w:p>
        </w:tc>
        <w:tc>
          <w:tcPr>
            <w:tcW w:w="1843" w:type="dxa"/>
          </w:tcPr>
          <w:p w:rsidR="00AE7DE1" w:rsidRPr="00D71375" w:rsidRDefault="00AE7DE1" w:rsidP="00415E2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760</w:t>
            </w:r>
          </w:p>
        </w:tc>
      </w:tr>
      <w:tr w:rsidR="00AE7DE1" w:rsidRPr="00D71375" w:rsidTr="00D71375">
        <w:trPr>
          <w:trHeight w:val="402"/>
        </w:trPr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:rsidR="00AE7DE1" w:rsidRPr="00D71375" w:rsidRDefault="00AE7DE1" w:rsidP="00415E2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E7DE1" w:rsidRPr="00D71375" w:rsidRDefault="00AE7DE1" w:rsidP="00415E2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DMSO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E7DE1" w:rsidRPr="00D71375" w:rsidRDefault="00AE7DE1" w:rsidP="00415E2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10ML</w:t>
            </w:r>
          </w:p>
        </w:tc>
        <w:tc>
          <w:tcPr>
            <w:tcW w:w="1843" w:type="dxa"/>
          </w:tcPr>
          <w:p w:rsidR="00AE7DE1" w:rsidRPr="00D71375" w:rsidRDefault="00AE7DE1" w:rsidP="00415E2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</w:tr>
      <w:tr w:rsidR="00AE7DE1" w:rsidRPr="00D71375" w:rsidTr="00D71375">
        <w:trPr>
          <w:trHeight w:val="402"/>
        </w:trPr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AE7DE1" w:rsidRPr="00D71375" w:rsidRDefault="00AE7DE1" w:rsidP="00415E2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71375">
              <w:rPr>
                <w:rFonts w:ascii="微软雅黑" w:eastAsia="微软雅黑" w:hAnsi="微软雅黑" w:cs="宋体" w:hint="eastAsia"/>
                <w:kern w:val="0"/>
                <w:szCs w:val="21"/>
              </w:rPr>
              <w:t>MG7989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-1MG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E7DE1" w:rsidRPr="00D71375" w:rsidRDefault="00AE7DE1" w:rsidP="00415E2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71375">
              <w:rPr>
                <w:rFonts w:ascii="ArialMT" w:hAnsi="ArialMT" w:cs="ArialMT"/>
                <w:kern w:val="0"/>
                <w:szCs w:val="21"/>
              </w:rPr>
              <w:t>JC-1</w:t>
            </w:r>
            <w:r>
              <w:rPr>
                <w:rFonts w:ascii="ArialMT" w:hAnsi="ArialMT" w:cs="ArialMT" w:hint="eastAsia"/>
                <w:kern w:val="0"/>
                <w:szCs w:val="21"/>
              </w:rPr>
              <w:t xml:space="preserve"> (Soild)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E7DE1" w:rsidRPr="00D71375" w:rsidRDefault="00AE7DE1" w:rsidP="00415E2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1MG</w:t>
            </w:r>
          </w:p>
        </w:tc>
        <w:tc>
          <w:tcPr>
            <w:tcW w:w="1843" w:type="dxa"/>
          </w:tcPr>
          <w:p w:rsidR="00AE7DE1" w:rsidRPr="00D71375" w:rsidRDefault="00AE7DE1" w:rsidP="00415E2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1400</w:t>
            </w:r>
          </w:p>
        </w:tc>
      </w:tr>
      <w:tr w:rsidR="00AE7DE1" w:rsidRPr="00D71375" w:rsidTr="00D71375">
        <w:trPr>
          <w:trHeight w:val="402"/>
        </w:trPr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:rsidR="00AE7DE1" w:rsidRPr="00D71375" w:rsidRDefault="00AE7DE1" w:rsidP="00415E2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E7DE1" w:rsidRPr="00D71375" w:rsidRDefault="00AE7DE1" w:rsidP="00415E2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DMSO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E7DE1" w:rsidRPr="00D71375" w:rsidRDefault="00AE7DE1" w:rsidP="00415E2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20ML</w:t>
            </w:r>
          </w:p>
        </w:tc>
        <w:tc>
          <w:tcPr>
            <w:tcW w:w="1843" w:type="dxa"/>
          </w:tcPr>
          <w:p w:rsidR="00AE7DE1" w:rsidRPr="00D71375" w:rsidRDefault="00AE7DE1" w:rsidP="00415E2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</w:tr>
    </w:tbl>
    <w:p w:rsidR="00315FD7" w:rsidRDefault="00315FD7" w:rsidP="00AE7DE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i/>
          <w:kern w:val="0"/>
          <w:szCs w:val="21"/>
        </w:rPr>
      </w:pPr>
    </w:p>
    <w:p w:rsidR="00D71375" w:rsidRPr="00D71375" w:rsidRDefault="00D71375" w:rsidP="00AE7DE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i/>
          <w:kern w:val="0"/>
          <w:szCs w:val="21"/>
        </w:rPr>
      </w:pPr>
      <w:r w:rsidRPr="00D71375">
        <w:rPr>
          <w:rFonts w:ascii="Arial-BoldMT" w:hAnsi="Arial-BoldMT" w:cs="Arial-BoldMT"/>
          <w:b/>
          <w:bCs/>
          <w:i/>
          <w:kern w:val="0"/>
          <w:szCs w:val="21"/>
        </w:rPr>
        <w:t>For Research Use Only. Not Intended for Diagnostic or Therapeutic Use.</w:t>
      </w:r>
    </w:p>
    <w:sectPr w:rsidR="00D71375" w:rsidRPr="00D71375" w:rsidSect="00CB18B6">
      <w:footerReference w:type="default" r:id="rId9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CE0" w:rsidRDefault="00D13CE0" w:rsidP="00EF68C2">
      <w:r>
        <w:separator/>
      </w:r>
    </w:p>
  </w:endnote>
  <w:endnote w:type="continuationSeparator" w:id="0">
    <w:p w:rsidR="00D13CE0" w:rsidRDefault="00D13CE0" w:rsidP="00EF6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8B6" w:rsidRDefault="00CB18B6" w:rsidP="0069128F">
    <w:pPr>
      <w:pStyle w:val="a4"/>
      <w:jc w:val="center"/>
    </w:pPr>
    <w:r w:rsidRPr="00CB18B6">
      <w:rPr>
        <w:rFonts w:hint="eastAsia"/>
        <w:b/>
      </w:rPr>
      <w:t>MesGen Biotechnology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CE0" w:rsidRDefault="00D13CE0" w:rsidP="00EF68C2">
      <w:r>
        <w:separator/>
      </w:r>
    </w:p>
  </w:footnote>
  <w:footnote w:type="continuationSeparator" w:id="0">
    <w:p w:rsidR="00D13CE0" w:rsidRDefault="00D13CE0" w:rsidP="00EF6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1004"/>
    <w:multiLevelType w:val="hybridMultilevel"/>
    <w:tmpl w:val="76B4518C"/>
    <w:lvl w:ilvl="0" w:tplc="B05070E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8C2"/>
    <w:rsid w:val="00117526"/>
    <w:rsid w:val="001958C9"/>
    <w:rsid w:val="001A0879"/>
    <w:rsid w:val="00315FD7"/>
    <w:rsid w:val="00425D06"/>
    <w:rsid w:val="00546641"/>
    <w:rsid w:val="005C32CD"/>
    <w:rsid w:val="005F1970"/>
    <w:rsid w:val="00683D6F"/>
    <w:rsid w:val="0069128F"/>
    <w:rsid w:val="007D7022"/>
    <w:rsid w:val="00955649"/>
    <w:rsid w:val="009A2FD6"/>
    <w:rsid w:val="00AE7DE1"/>
    <w:rsid w:val="00B31B86"/>
    <w:rsid w:val="00BA1787"/>
    <w:rsid w:val="00CB18B6"/>
    <w:rsid w:val="00D13CE0"/>
    <w:rsid w:val="00D71375"/>
    <w:rsid w:val="00D85BBC"/>
    <w:rsid w:val="00DA65D8"/>
    <w:rsid w:val="00E66714"/>
    <w:rsid w:val="00E76797"/>
    <w:rsid w:val="00EF34B0"/>
    <w:rsid w:val="00EF68C2"/>
    <w:rsid w:val="00F413A7"/>
    <w:rsid w:val="00F85538"/>
    <w:rsid w:val="00F8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79"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D71375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6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68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6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68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68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68C2"/>
    <w:rPr>
      <w:sz w:val="18"/>
      <w:szCs w:val="18"/>
    </w:rPr>
  </w:style>
  <w:style w:type="character" w:customStyle="1" w:styleId="name10">
    <w:name w:val="name10"/>
    <w:basedOn w:val="a0"/>
    <w:rsid w:val="00EF68C2"/>
    <w:rPr>
      <w:b/>
      <w:bCs/>
      <w:sz w:val="20"/>
      <w:szCs w:val="20"/>
    </w:rPr>
  </w:style>
  <w:style w:type="character" w:customStyle="1" w:styleId="value7">
    <w:name w:val="value7"/>
    <w:basedOn w:val="a0"/>
    <w:rsid w:val="00EF68C2"/>
  </w:style>
  <w:style w:type="character" w:customStyle="1" w:styleId="st">
    <w:name w:val="st"/>
    <w:basedOn w:val="a0"/>
    <w:rsid w:val="00EF68C2"/>
  </w:style>
  <w:style w:type="table" w:styleId="a6">
    <w:name w:val="Table Grid"/>
    <w:basedOn w:val="a1"/>
    <w:uiPriority w:val="59"/>
    <w:rsid w:val="00D8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71375"/>
    <w:rPr>
      <w:b/>
      <w:bCs/>
    </w:rPr>
  </w:style>
  <w:style w:type="character" w:customStyle="1" w:styleId="producttitle1">
    <w:name w:val="producttitle1"/>
    <w:basedOn w:val="a0"/>
    <w:rsid w:val="00D71375"/>
    <w:rPr>
      <w:color w:val="0083A8"/>
      <w:sz w:val="20"/>
      <w:szCs w:val="20"/>
    </w:rPr>
  </w:style>
  <w:style w:type="character" w:customStyle="1" w:styleId="5Char">
    <w:name w:val="标题 5 Char"/>
    <w:basedOn w:val="a0"/>
    <w:link w:val="5"/>
    <w:uiPriority w:val="9"/>
    <w:rsid w:val="00D71375"/>
    <w:rPr>
      <w:rFonts w:ascii="宋体" w:eastAsia="宋体" w:hAnsi="宋体" w:cs="宋体"/>
      <w:b/>
      <w:bCs/>
      <w:kern w:val="0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D713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AE7DE1"/>
    <w:rPr>
      <w:color w:val="0000FF"/>
      <w:u w:val="single"/>
    </w:rPr>
  </w:style>
  <w:style w:type="character" w:customStyle="1" w:styleId="hps">
    <w:name w:val="hps"/>
    <w:basedOn w:val="a0"/>
    <w:rsid w:val="00315FD7"/>
  </w:style>
  <w:style w:type="paragraph" w:styleId="aa">
    <w:name w:val="List Paragraph"/>
    <w:basedOn w:val="a"/>
    <w:uiPriority w:val="34"/>
    <w:qFormat/>
    <w:rsid w:val="00315FD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1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6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16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2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9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12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7106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0805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Luo Ting</cp:lastModifiedBy>
  <cp:revision>8</cp:revision>
  <dcterms:created xsi:type="dcterms:W3CDTF">2014-02-18T06:53:00Z</dcterms:created>
  <dcterms:modified xsi:type="dcterms:W3CDTF">2015-03-03T12:36:00Z</dcterms:modified>
</cp:coreProperties>
</file>