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6D2670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5f497a [2407]" strokecolor="black [3213]" strokeweight="1.5pt">
            <v:textbox style="mso-next-textbox:#_x0000_s2050">
              <w:txbxContent>
                <w:p w:rsidR="00404D1E" w:rsidRPr="005F08A2" w:rsidRDefault="00787674" w:rsidP="00404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787674"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>ECL Chemiluminescent Substrate Reagent Kit</w:t>
                  </w:r>
                </w:p>
              </w:txbxContent>
            </v:textbox>
          </v:shape>
        </w:pict>
      </w:r>
    </w:p>
    <w:p w:rsidR="00DF27D0" w:rsidRDefault="00404D1E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272415</wp:posOffset>
            </wp:positionV>
            <wp:extent cx="1000125" cy="44767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670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3.05pt;height:42.75pt;z-index:251661312;mso-position-horizontal-relative:text;mso-position-vertical-relative:text;mso-width-relative:margin;mso-height-relative:margin" fillcolor="#5f497a [2407]" strokecolor="black [3213]" strokeweight="1.5pt">
            <v:textbox style="mso-next-textbox:#_x0000_s2051">
              <w:txbxContent>
                <w:p w:rsidR="00695F96" w:rsidRPr="009E702B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9E702B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036E40" w:rsidRPr="00155301" w:rsidRDefault="00404D1E" w:rsidP="00404D1E">
      <w:pPr>
        <w:spacing w:line="320" w:lineRule="exact"/>
        <w:rPr>
          <w:rFonts w:ascii="Arial" w:hAnsi="Arial" w:cs="Arial" w:hint="eastAsia"/>
          <w:b/>
          <w:kern w:val="0"/>
          <w:sz w:val="18"/>
          <w:szCs w:val="18"/>
        </w:rPr>
      </w:pPr>
      <w:r w:rsidRPr="00155301">
        <w:rPr>
          <w:rFonts w:ascii="Arial" w:eastAsia="Meiryo" w:hAnsi="Arial" w:cs="Arial"/>
          <w:b/>
          <w:bCs/>
          <w:kern w:val="0"/>
          <w:sz w:val="18"/>
          <w:szCs w:val="18"/>
        </w:rPr>
        <w:t xml:space="preserve">Catalog </w:t>
      </w:r>
      <w:proofErr w:type="gramStart"/>
      <w:r w:rsidRPr="00155301">
        <w:rPr>
          <w:rFonts w:ascii="Arial" w:eastAsia="Meiryo" w:hAnsi="Arial" w:cs="Arial"/>
          <w:b/>
          <w:bCs/>
          <w:kern w:val="0"/>
          <w:sz w:val="18"/>
          <w:szCs w:val="18"/>
        </w:rPr>
        <w:t>Number :</w:t>
      </w:r>
      <w:proofErr w:type="gramEnd"/>
      <w:r w:rsidRPr="00155301">
        <w:rPr>
          <w:rFonts w:ascii="Arial" w:eastAsia="Meiryo" w:hAnsi="Arial" w:cs="Arial"/>
          <w:b/>
          <w:kern w:val="0"/>
          <w:sz w:val="18"/>
          <w:szCs w:val="18"/>
        </w:rPr>
        <w:t xml:space="preserve"> M</w:t>
      </w:r>
      <w:r w:rsidR="00787674" w:rsidRPr="00155301">
        <w:rPr>
          <w:rFonts w:ascii="Arial" w:hAnsi="Arial" w:cs="Arial" w:hint="eastAsia"/>
          <w:b/>
          <w:kern w:val="0"/>
          <w:sz w:val="18"/>
          <w:szCs w:val="18"/>
        </w:rPr>
        <w:t>G2034</w:t>
      </w:r>
      <w:r w:rsidR="005F08A2" w:rsidRPr="00155301">
        <w:rPr>
          <w:rFonts w:ascii="Arial" w:hAnsi="Arial" w:cs="Arial" w:hint="eastAsia"/>
          <w:b/>
          <w:kern w:val="0"/>
          <w:sz w:val="18"/>
          <w:szCs w:val="18"/>
        </w:rPr>
        <w:t xml:space="preserve"> </w:t>
      </w:r>
    </w:p>
    <w:p w:rsidR="00404D1E" w:rsidRPr="00155301" w:rsidRDefault="00404D1E" w:rsidP="00404D1E">
      <w:pPr>
        <w:spacing w:line="320" w:lineRule="exact"/>
        <w:rPr>
          <w:rFonts w:ascii="Arial" w:eastAsia="Meiryo" w:hAnsi="Arial" w:cs="Arial"/>
          <w:b/>
          <w:kern w:val="0"/>
          <w:sz w:val="18"/>
          <w:szCs w:val="18"/>
        </w:rPr>
      </w:pPr>
      <w:r w:rsidRPr="00155301">
        <w:rPr>
          <w:rFonts w:ascii="Arial" w:eastAsia="Meiryo" w:hAnsi="Arial" w:cs="Arial"/>
          <w:b/>
          <w:bCs/>
          <w:kern w:val="0"/>
          <w:sz w:val="18"/>
          <w:szCs w:val="18"/>
        </w:rPr>
        <w:t xml:space="preserve">Lot </w:t>
      </w:r>
      <w:proofErr w:type="gramStart"/>
      <w:r w:rsidRPr="00155301">
        <w:rPr>
          <w:rFonts w:ascii="Arial" w:eastAsia="Meiryo" w:hAnsi="Arial" w:cs="Arial"/>
          <w:b/>
          <w:bCs/>
          <w:kern w:val="0"/>
          <w:sz w:val="18"/>
          <w:szCs w:val="18"/>
        </w:rPr>
        <w:t>Number :</w:t>
      </w:r>
      <w:proofErr w:type="gramEnd"/>
      <w:r w:rsidRPr="00155301">
        <w:rPr>
          <w:rFonts w:ascii="Arial" w:eastAsia="Meiryo" w:hAnsi="Arial" w:cs="Arial"/>
          <w:b/>
          <w:bCs/>
          <w:kern w:val="0"/>
          <w:sz w:val="18"/>
          <w:szCs w:val="18"/>
        </w:rPr>
        <w:t xml:space="preserve"> </w:t>
      </w:r>
      <w:r w:rsidRPr="00155301">
        <w:rPr>
          <w:rFonts w:ascii="Arial" w:eastAsia="Meiryo" w:hAnsi="Arial" w:cs="Arial"/>
          <w:b/>
          <w:kern w:val="0"/>
          <w:sz w:val="18"/>
          <w:szCs w:val="18"/>
        </w:rPr>
        <w:t>Refer to vial</w:t>
      </w:r>
    </w:p>
    <w:p w:rsidR="00404D1E" w:rsidRDefault="00404D1E" w:rsidP="00404D1E">
      <w:pPr>
        <w:autoSpaceDE w:val="0"/>
        <w:autoSpaceDN w:val="0"/>
        <w:adjustRightInd w:val="0"/>
        <w:spacing w:line="320" w:lineRule="exact"/>
        <w:rPr>
          <w:rFonts w:ascii="Arial" w:hAnsi="Arial" w:cs="Arial" w:hint="eastAsia"/>
          <w:b/>
          <w:bCs/>
          <w:color w:val="000000" w:themeColor="text1"/>
          <w:sz w:val="18"/>
          <w:szCs w:val="18"/>
          <w:u w:val="single"/>
          <w:shd w:val="clear" w:color="auto" w:fill="FCFDFD"/>
        </w:rPr>
      </w:pPr>
    </w:p>
    <w:p w:rsidR="00404D1E" w:rsidRPr="00155301" w:rsidRDefault="00404D1E" w:rsidP="00DF102E">
      <w:pPr>
        <w:autoSpaceDE w:val="0"/>
        <w:autoSpaceDN w:val="0"/>
        <w:adjustRightInd w:val="0"/>
        <w:spacing w:line="320" w:lineRule="exact"/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</w:pPr>
      <w:r w:rsidRPr="00155301"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  <w:t>Background</w:t>
      </w:r>
    </w:p>
    <w:p w:rsidR="00DF102E" w:rsidRPr="00DF102E" w:rsidRDefault="00DF102E" w:rsidP="00DF102E">
      <w:pPr>
        <w:widowControl/>
        <w:shd w:val="clear" w:color="auto" w:fill="FFFFFF"/>
        <w:spacing w:line="320" w:lineRule="exact"/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</w:pPr>
      <w:proofErr w:type="spellStart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Luminol</w:t>
      </w:r>
      <w:proofErr w:type="spellEnd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reagent is a non-radioactive, light-emitting system for detecting proteins on a Western blot membrane. Horseradish </w:t>
      </w:r>
      <w:proofErr w:type="spellStart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peroxidase</w:t>
      </w:r>
      <w:proofErr w:type="spellEnd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mediates oxidation of </w:t>
      </w:r>
      <w:proofErr w:type="spellStart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Luminol</w:t>
      </w:r>
      <w:proofErr w:type="spellEnd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reagent in the presence of hydrogen peroxide and this reaction produces an iridescent light.</w:t>
      </w:r>
      <w:r w:rsidRPr="00155301">
        <w:rPr>
          <w:rFonts w:ascii="Arial" w:hAnsi="Arial" w:cs="Arial"/>
          <w:b/>
          <w:color w:val="222222"/>
          <w:sz w:val="18"/>
          <w:szCs w:val="18"/>
          <w:shd w:val="clear" w:color="auto" w:fill="FCFDFD"/>
        </w:rPr>
        <w:t xml:space="preserve"> </w:t>
      </w:r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Western blotting </w:t>
      </w:r>
      <w:proofErr w:type="spellStart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Luminol</w:t>
      </w:r>
      <w:proofErr w:type="spellEnd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reagent is recommended for Western blotting enhanced </w:t>
      </w:r>
      <w:proofErr w:type="spellStart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chemiluminescence</w:t>
      </w:r>
      <w:proofErr w:type="spellEnd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applications using Horseradish </w:t>
      </w:r>
      <w:proofErr w:type="spellStart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Peroxidase</w:t>
      </w:r>
      <w:proofErr w:type="spellEnd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(HRP) conjugated secondary antibodies.</w:t>
      </w:r>
      <w:r w:rsidRPr="00155301">
        <w:rPr>
          <w:rFonts w:ascii="Arial" w:hAnsi="Arial" w:cs="Arial"/>
          <w:b/>
          <w:color w:val="222222"/>
          <w:sz w:val="18"/>
          <w:szCs w:val="18"/>
          <w:shd w:val="clear" w:color="auto" w:fill="FCFDFD"/>
        </w:rPr>
        <w:t xml:space="preserve"> </w:t>
      </w:r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One Western blotting </w:t>
      </w:r>
      <w:proofErr w:type="spellStart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Luminol</w:t>
      </w:r>
      <w:proofErr w:type="spellEnd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reagent contains </w:t>
      </w:r>
      <w:r w:rsidRPr="00155301">
        <w:rPr>
          <w:rFonts w:ascii="Arial" w:hAnsi="Arial" w:cs="Arial"/>
          <w:b/>
          <w:color w:val="222222"/>
          <w:sz w:val="18"/>
          <w:szCs w:val="18"/>
          <w:shd w:val="clear" w:color="auto" w:fill="FCFDFD"/>
        </w:rPr>
        <w:t>equal volume</w:t>
      </w:r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Solution A and Solution B, which combine to form sufficient </w:t>
      </w:r>
      <w:proofErr w:type="spellStart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chemiluminescence</w:t>
      </w:r>
      <w:proofErr w:type="spellEnd"/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reagent.</w:t>
      </w:r>
      <w:r w:rsidRPr="00155301">
        <w:rPr>
          <w:rFonts w:ascii="Arial" w:hAnsi="Arial" w:cs="Arial"/>
          <w:b/>
          <w:color w:val="222222"/>
          <w:sz w:val="18"/>
          <w:szCs w:val="18"/>
          <w:shd w:val="clear" w:color="auto" w:fill="FCFDFD"/>
        </w:rPr>
        <w:t xml:space="preserve"> </w:t>
      </w:r>
      <w:r w:rsidRPr="00DF102E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Extended exposure times (multiple exposures) to film made possible by long-duration signal</w:t>
      </w:r>
      <w:r w:rsidRPr="00155301">
        <w:rPr>
          <w:rFonts w:ascii="Arial" w:hAnsi="Arial" w:cs="Arial"/>
          <w:b/>
          <w:color w:val="222222"/>
          <w:sz w:val="18"/>
          <w:szCs w:val="18"/>
          <w:shd w:val="clear" w:color="auto" w:fill="FCFDFD"/>
        </w:rPr>
        <w:t xml:space="preserve">. </w:t>
      </w:r>
    </w:p>
    <w:p w:rsidR="00DF102E" w:rsidRDefault="00DF102E" w:rsidP="00404D1E">
      <w:pPr>
        <w:pStyle w:val="Default"/>
        <w:spacing w:line="320" w:lineRule="exact"/>
        <w:rPr>
          <w:rFonts w:hint="eastAsia"/>
          <w:b/>
          <w:bCs/>
          <w:sz w:val="18"/>
          <w:szCs w:val="18"/>
        </w:rPr>
      </w:pPr>
    </w:p>
    <w:p w:rsidR="0041783B" w:rsidRPr="00036E40" w:rsidRDefault="0041783B" w:rsidP="0041783B">
      <w:pPr>
        <w:autoSpaceDE w:val="0"/>
        <w:autoSpaceDN w:val="0"/>
        <w:adjustRightInd w:val="0"/>
        <w:spacing w:afterLines="50" w:line="320" w:lineRule="exact"/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</w:pPr>
      <w:r w:rsidRPr="00036E40"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  <w:t>P</w:t>
      </w:r>
      <w:r w:rsidRPr="00036E40">
        <w:rPr>
          <w:rFonts w:ascii="Arial" w:hAnsi="Arial" w:cs="Arial" w:hint="eastAsia"/>
          <w:b/>
          <w:bCs/>
          <w:color w:val="000000" w:themeColor="text1"/>
          <w:szCs w:val="21"/>
          <w:shd w:val="clear" w:color="auto" w:fill="FCFDFD"/>
        </w:rPr>
        <w:t>ackage contents</w:t>
      </w:r>
    </w:p>
    <w:tbl>
      <w:tblPr>
        <w:tblStyle w:val="a8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418"/>
        <w:gridCol w:w="1418"/>
        <w:gridCol w:w="1418"/>
        <w:gridCol w:w="5811"/>
      </w:tblGrid>
      <w:tr w:rsidR="00155301" w:rsidRPr="00036E40" w:rsidTr="00155301">
        <w:tc>
          <w:tcPr>
            <w:tcW w:w="1418" w:type="dxa"/>
            <w:vMerge w:val="restart"/>
            <w:vAlign w:val="center"/>
          </w:tcPr>
          <w:p w:rsidR="00155301" w:rsidRP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Package</w:t>
            </w:r>
          </w:p>
        </w:tc>
        <w:tc>
          <w:tcPr>
            <w:tcW w:w="2836" w:type="dxa"/>
            <w:gridSpan w:val="2"/>
            <w:vAlign w:val="center"/>
          </w:tcPr>
          <w:p w:rsidR="00155301" w:rsidRPr="00036E40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Meiryo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 w:rsidRPr="00036E40">
              <w:rPr>
                <w:rFonts w:ascii="Arial" w:eastAsia="Meiryo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Components</w:t>
            </w:r>
          </w:p>
        </w:tc>
        <w:tc>
          <w:tcPr>
            <w:tcW w:w="5811" w:type="dxa"/>
            <w:vMerge w:val="restart"/>
            <w:vAlign w:val="center"/>
          </w:tcPr>
          <w:p w:rsidR="00155301" w:rsidRP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Remarks</w:t>
            </w:r>
          </w:p>
        </w:tc>
      </w:tr>
      <w:tr w:rsidR="00155301" w:rsidRPr="00036E40" w:rsidTr="00155301">
        <w:tc>
          <w:tcPr>
            <w:tcW w:w="1418" w:type="dxa"/>
            <w:vMerge/>
            <w:vAlign w:val="center"/>
          </w:tcPr>
          <w:p w:rsidR="00155301" w:rsidRP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</w:p>
        </w:tc>
        <w:tc>
          <w:tcPr>
            <w:tcW w:w="1418" w:type="dxa"/>
            <w:vAlign w:val="center"/>
          </w:tcPr>
          <w:p w:rsidR="00155301" w:rsidRPr="00036E40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Meiryo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 w:rsidRPr="00155301"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Solution A</w:t>
            </w:r>
          </w:p>
        </w:tc>
        <w:tc>
          <w:tcPr>
            <w:tcW w:w="1418" w:type="dxa"/>
            <w:vAlign w:val="center"/>
          </w:tcPr>
          <w:p w:rsidR="00155301" w:rsidRPr="00036E40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Meiryo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 w:rsidRPr="00155301"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Solution B</w:t>
            </w:r>
          </w:p>
        </w:tc>
        <w:tc>
          <w:tcPr>
            <w:tcW w:w="5811" w:type="dxa"/>
            <w:vMerge/>
            <w:vAlign w:val="center"/>
          </w:tcPr>
          <w:p w:rsidR="00155301" w:rsidRP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</w:p>
        </w:tc>
      </w:tr>
      <w:tr w:rsidR="00155301" w:rsidRPr="00036E40" w:rsidTr="00155301">
        <w:tc>
          <w:tcPr>
            <w:tcW w:w="1418" w:type="dxa"/>
            <w:vAlign w:val="center"/>
          </w:tcPr>
          <w:p w:rsidR="00155301" w:rsidRP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60ml</w:t>
            </w:r>
          </w:p>
        </w:tc>
        <w:tc>
          <w:tcPr>
            <w:tcW w:w="1418" w:type="dxa"/>
            <w:vAlign w:val="center"/>
          </w:tcPr>
          <w:p w:rsidR="00155301" w:rsidRP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30ml</w:t>
            </w:r>
          </w:p>
        </w:tc>
        <w:tc>
          <w:tcPr>
            <w:tcW w:w="1418" w:type="dxa"/>
            <w:vAlign w:val="center"/>
          </w:tcPr>
          <w:p w:rsidR="00155301" w:rsidRP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30ml</w:t>
            </w:r>
          </w:p>
        </w:tc>
        <w:tc>
          <w:tcPr>
            <w:tcW w:w="5811" w:type="dxa"/>
            <w:vAlign w:val="center"/>
          </w:tcPr>
          <w:p w:rsidR="00155301" w:rsidRP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 xml:space="preserve">Sufficient for 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48</w:t>
            </w:r>
            <w:r w:rsidRPr="00036E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0 cm</w:t>
            </w:r>
            <w:r w:rsidRPr="00036E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  <w:vertAlign w:val="superscript"/>
              </w:rPr>
              <w:t>2</w:t>
            </w:r>
            <w:r w:rsidRPr="00036E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 xml:space="preserve"> of membrane</w:t>
            </w:r>
          </w:p>
        </w:tc>
      </w:tr>
      <w:tr w:rsidR="00155301" w:rsidRPr="00036E40" w:rsidTr="00155301">
        <w:tc>
          <w:tcPr>
            <w:tcW w:w="1418" w:type="dxa"/>
            <w:vAlign w:val="center"/>
          </w:tcPr>
          <w:p w:rsidR="00155301" w:rsidRP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100ml</w:t>
            </w:r>
          </w:p>
        </w:tc>
        <w:tc>
          <w:tcPr>
            <w:tcW w:w="1418" w:type="dxa"/>
            <w:vAlign w:val="center"/>
          </w:tcPr>
          <w:p w:rsid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50ml</w:t>
            </w:r>
          </w:p>
        </w:tc>
        <w:tc>
          <w:tcPr>
            <w:tcW w:w="1418" w:type="dxa"/>
            <w:vAlign w:val="center"/>
          </w:tcPr>
          <w:p w:rsid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50ml</w:t>
            </w:r>
          </w:p>
        </w:tc>
        <w:tc>
          <w:tcPr>
            <w:tcW w:w="5811" w:type="dxa"/>
            <w:vAlign w:val="center"/>
          </w:tcPr>
          <w:p w:rsidR="00155301" w:rsidRP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 xml:space="preserve">Sufficient for 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8</w:t>
            </w:r>
            <w:r w:rsidRPr="00036E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00 cm</w:t>
            </w:r>
            <w:r w:rsidRPr="00036E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  <w:vertAlign w:val="superscript"/>
              </w:rPr>
              <w:t>2</w:t>
            </w:r>
            <w:r w:rsidRPr="00036E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 xml:space="preserve"> of membrane</w:t>
            </w:r>
          </w:p>
        </w:tc>
      </w:tr>
      <w:tr w:rsidR="00155301" w:rsidRPr="00036E40" w:rsidTr="00155301">
        <w:tc>
          <w:tcPr>
            <w:tcW w:w="1418" w:type="dxa"/>
            <w:vAlign w:val="center"/>
          </w:tcPr>
          <w:p w:rsidR="00155301" w:rsidRP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250ml</w:t>
            </w:r>
          </w:p>
        </w:tc>
        <w:tc>
          <w:tcPr>
            <w:tcW w:w="1418" w:type="dxa"/>
            <w:vAlign w:val="center"/>
          </w:tcPr>
          <w:p w:rsid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125ml</w:t>
            </w:r>
          </w:p>
        </w:tc>
        <w:tc>
          <w:tcPr>
            <w:tcW w:w="1418" w:type="dxa"/>
            <w:vAlign w:val="center"/>
          </w:tcPr>
          <w:p w:rsid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125ml</w:t>
            </w:r>
          </w:p>
        </w:tc>
        <w:tc>
          <w:tcPr>
            <w:tcW w:w="5811" w:type="dxa"/>
            <w:vAlign w:val="center"/>
          </w:tcPr>
          <w:p w:rsidR="00155301" w:rsidRPr="00155301" w:rsidRDefault="00155301" w:rsidP="0015530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 xml:space="preserve">Sufficient for 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20</w:t>
            </w:r>
            <w:r w:rsidRPr="00036E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00 cm</w:t>
            </w:r>
            <w:r w:rsidRPr="00036E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  <w:vertAlign w:val="superscript"/>
              </w:rPr>
              <w:t>2</w:t>
            </w:r>
            <w:r w:rsidRPr="00036E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 xml:space="preserve"> of membrane</w:t>
            </w:r>
          </w:p>
        </w:tc>
      </w:tr>
    </w:tbl>
    <w:p w:rsidR="00DF102E" w:rsidRDefault="00DF102E" w:rsidP="00404D1E">
      <w:pPr>
        <w:pStyle w:val="Default"/>
        <w:spacing w:line="320" w:lineRule="exact"/>
        <w:rPr>
          <w:rFonts w:hint="eastAsia"/>
          <w:b/>
          <w:bCs/>
          <w:sz w:val="21"/>
          <w:szCs w:val="21"/>
        </w:rPr>
      </w:pPr>
    </w:p>
    <w:p w:rsidR="00DF102E" w:rsidRPr="00036E40" w:rsidRDefault="00DF102E" w:rsidP="00DF102E">
      <w:pPr>
        <w:autoSpaceDE w:val="0"/>
        <w:autoSpaceDN w:val="0"/>
        <w:adjustRightInd w:val="0"/>
        <w:spacing w:line="320" w:lineRule="exact"/>
        <w:rPr>
          <w:rFonts w:ascii="Arial" w:hAnsi="Arial" w:cs="Arial" w:hint="eastAsia"/>
          <w:b/>
          <w:bCs/>
          <w:color w:val="000000" w:themeColor="text1"/>
          <w:szCs w:val="21"/>
          <w:shd w:val="clear" w:color="auto" w:fill="FCFDFD"/>
        </w:rPr>
      </w:pPr>
      <w:r w:rsidRPr="00036E40"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  <w:t>D</w:t>
      </w:r>
      <w:r w:rsidRPr="00036E40">
        <w:rPr>
          <w:rFonts w:ascii="Arial" w:hAnsi="Arial" w:cs="Arial" w:hint="eastAsia"/>
          <w:b/>
          <w:bCs/>
          <w:color w:val="000000" w:themeColor="text1"/>
          <w:szCs w:val="21"/>
          <w:shd w:val="clear" w:color="auto" w:fill="FCFDFD"/>
        </w:rPr>
        <w:t>etection procedure</w:t>
      </w:r>
    </w:p>
    <w:p w:rsidR="00DF102E" w:rsidRPr="00155301" w:rsidRDefault="00DF102E" w:rsidP="00DF102E">
      <w:pPr>
        <w:pStyle w:val="Default"/>
        <w:spacing w:line="320" w:lineRule="exact"/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</w:pPr>
      <w:r w:rsidRPr="00155301"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1. </w:t>
      </w:r>
      <w:r w:rsidRPr="00155301">
        <w:rPr>
          <w:rFonts w:hint="eastAsia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 </w:t>
      </w:r>
      <w:r w:rsidRPr="00155301"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Mix Detection </w:t>
      </w:r>
      <w:r w:rsidR="0041783B" w:rsidRPr="00155301">
        <w:rPr>
          <w:rFonts w:hint="eastAsia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Solution </w:t>
      </w:r>
      <w:r w:rsidRPr="00155301"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A &amp; B at a 1:1 ratio. </w:t>
      </w:r>
    </w:p>
    <w:p w:rsidR="00DF102E" w:rsidRPr="00155301" w:rsidRDefault="00DF102E" w:rsidP="00DF102E">
      <w:pPr>
        <w:pStyle w:val="Default"/>
        <w:spacing w:line="320" w:lineRule="exact"/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</w:pPr>
      <w:r w:rsidRPr="00155301"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2. </w:t>
      </w:r>
      <w:r w:rsidRPr="00155301">
        <w:rPr>
          <w:rFonts w:hint="eastAsia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 </w:t>
      </w:r>
      <w:r w:rsidRPr="00155301"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  <w:t>Immediately add the mixture to the blot. Use 0.125 ml working solution per cm</w:t>
      </w:r>
      <w:r w:rsidRPr="00155301"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  <w:vertAlign w:val="superscript"/>
        </w:rPr>
        <w:t>2</w:t>
      </w:r>
      <w:r w:rsidRPr="00155301"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 of membrane. </w:t>
      </w:r>
    </w:p>
    <w:p w:rsidR="00DF102E" w:rsidRPr="00155301" w:rsidRDefault="00DF102E" w:rsidP="00DF102E">
      <w:pPr>
        <w:pStyle w:val="Default"/>
        <w:spacing w:line="320" w:lineRule="exact"/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</w:pPr>
      <w:r w:rsidRPr="00155301"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3. </w:t>
      </w:r>
      <w:r w:rsidRPr="00155301">
        <w:rPr>
          <w:rFonts w:hint="eastAsia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 </w:t>
      </w:r>
      <w:r w:rsidRPr="00155301"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Incubate the blot for about 1 minute at room temperature. </w:t>
      </w:r>
    </w:p>
    <w:p w:rsidR="00DF102E" w:rsidRPr="00155301" w:rsidRDefault="00DF102E" w:rsidP="00DF102E">
      <w:pPr>
        <w:pStyle w:val="Default"/>
        <w:spacing w:line="320" w:lineRule="exact"/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</w:pPr>
      <w:r w:rsidRPr="00155301"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4. </w:t>
      </w:r>
      <w:r w:rsidRPr="00155301">
        <w:rPr>
          <w:rFonts w:hint="eastAsia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 </w:t>
      </w:r>
      <w:r w:rsidRPr="00155301"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Drain excess reagents. </w:t>
      </w:r>
    </w:p>
    <w:p w:rsidR="00DF102E" w:rsidRPr="00155301" w:rsidRDefault="00DF102E" w:rsidP="00DF102E">
      <w:pPr>
        <w:pStyle w:val="Default"/>
        <w:spacing w:line="320" w:lineRule="exact"/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</w:pPr>
      <w:r w:rsidRPr="00155301"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5. </w:t>
      </w:r>
      <w:r w:rsidRPr="00155301">
        <w:rPr>
          <w:rFonts w:hint="eastAsia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 </w:t>
      </w:r>
      <w:r w:rsidRPr="00155301"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Cover blot with a clear plastic sheet protector or clear plastic wrap. </w:t>
      </w:r>
    </w:p>
    <w:p w:rsidR="00DF102E" w:rsidRPr="00155301" w:rsidRDefault="00DF102E" w:rsidP="00DF102E">
      <w:pPr>
        <w:pStyle w:val="Default"/>
        <w:spacing w:line="320" w:lineRule="exact"/>
        <w:rPr>
          <w:rFonts w:eastAsia="Meiryo" w:hint="eastAsia"/>
          <w:b/>
          <w:color w:val="000000" w:themeColor="text1"/>
          <w:kern w:val="2"/>
          <w:sz w:val="21"/>
          <w:szCs w:val="21"/>
          <w:shd w:val="clear" w:color="auto" w:fill="FCFDFD"/>
        </w:rPr>
      </w:pPr>
      <w:r w:rsidRPr="00155301"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6. </w:t>
      </w:r>
      <w:r w:rsidRPr="00155301">
        <w:rPr>
          <w:rFonts w:hint="eastAsia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 </w:t>
      </w:r>
      <w:r w:rsidRPr="00155301">
        <w:rPr>
          <w:rFonts w:eastAsia="Meiryo"/>
          <w:b/>
          <w:color w:val="000000" w:themeColor="text1"/>
          <w:kern w:val="2"/>
          <w:sz w:val="18"/>
          <w:szCs w:val="18"/>
          <w:shd w:val="clear" w:color="auto" w:fill="FCFDFD"/>
        </w:rPr>
        <w:t xml:space="preserve">Expose blot to X-ray film. </w:t>
      </w:r>
      <w:r w:rsidRPr="0015530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cr/>
      </w:r>
    </w:p>
    <w:p w:rsidR="00DF102E" w:rsidRPr="00036E40" w:rsidRDefault="00DF102E" w:rsidP="00DF102E">
      <w:pPr>
        <w:autoSpaceDE w:val="0"/>
        <w:autoSpaceDN w:val="0"/>
        <w:adjustRightInd w:val="0"/>
        <w:spacing w:line="320" w:lineRule="exact"/>
        <w:rPr>
          <w:rFonts w:ascii="Arial" w:eastAsia="Meiryo" w:hAnsi="Arial" w:cs="Arial" w:hint="eastAsia"/>
          <w:b/>
          <w:bCs/>
          <w:color w:val="000000" w:themeColor="text1"/>
          <w:szCs w:val="21"/>
          <w:shd w:val="clear" w:color="auto" w:fill="FCFDFD"/>
        </w:rPr>
      </w:pPr>
      <w:r w:rsidRPr="00036E40">
        <w:rPr>
          <w:rFonts w:ascii="Arial" w:eastAsia="Meiryo" w:hAnsi="Arial" w:cs="Arial" w:hint="eastAsia"/>
          <w:b/>
          <w:bCs/>
          <w:color w:val="000000" w:themeColor="text1"/>
          <w:szCs w:val="21"/>
          <w:shd w:val="clear" w:color="auto" w:fill="FCFDFD"/>
        </w:rPr>
        <w:t>Storage</w:t>
      </w:r>
    </w:p>
    <w:p w:rsidR="00DF102E" w:rsidRPr="00155301" w:rsidRDefault="00DF102E" w:rsidP="00404D1E">
      <w:pPr>
        <w:pStyle w:val="Default"/>
        <w:spacing w:line="320" w:lineRule="exact"/>
        <w:rPr>
          <w:b/>
          <w:bCs/>
          <w:sz w:val="18"/>
          <w:szCs w:val="18"/>
        </w:rPr>
      </w:pPr>
      <w:proofErr w:type="gramStart"/>
      <w:r w:rsidRPr="00DF102E">
        <w:rPr>
          <w:rFonts w:eastAsia="Meiryo"/>
          <w:b/>
          <w:color w:val="222222"/>
          <w:kern w:val="2"/>
          <w:sz w:val="18"/>
          <w:szCs w:val="18"/>
          <w:shd w:val="clear" w:color="auto" w:fill="FCFDFD"/>
        </w:rPr>
        <w:t>Store at 2-8° C for longer periods up to 12 months.</w:t>
      </w:r>
      <w:proofErr w:type="gramEnd"/>
      <w:r w:rsidRPr="00DF102E">
        <w:rPr>
          <w:rFonts w:eastAsia="Meiryo"/>
          <w:b/>
          <w:color w:val="222222"/>
          <w:kern w:val="2"/>
          <w:sz w:val="18"/>
          <w:szCs w:val="18"/>
          <w:shd w:val="clear" w:color="auto" w:fill="FCFDFD"/>
        </w:rPr>
        <w:t xml:space="preserve"> </w:t>
      </w:r>
      <w:proofErr w:type="gramStart"/>
      <w:r w:rsidRPr="00DF102E">
        <w:rPr>
          <w:rFonts w:eastAsia="Meiryo"/>
          <w:b/>
          <w:color w:val="222222"/>
          <w:kern w:val="2"/>
          <w:sz w:val="18"/>
          <w:szCs w:val="18"/>
          <w:shd w:val="clear" w:color="auto" w:fill="FCFDFD"/>
        </w:rPr>
        <w:t>Store in the dark.</w:t>
      </w:r>
      <w:proofErr w:type="gramEnd"/>
    </w:p>
    <w:p w:rsidR="005F08A2" w:rsidRDefault="005F08A2" w:rsidP="00404D1E">
      <w:pPr>
        <w:pStyle w:val="Default"/>
        <w:spacing w:line="320" w:lineRule="exact"/>
        <w:rPr>
          <w:rFonts w:hint="eastAsia"/>
          <w:b/>
          <w:bCs/>
          <w:sz w:val="18"/>
          <w:szCs w:val="18"/>
        </w:rPr>
      </w:pPr>
    </w:p>
    <w:p w:rsidR="00036E40" w:rsidRDefault="00036E40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036E40" w:rsidRDefault="00036E40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036E40" w:rsidRDefault="00036E40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036E40" w:rsidRDefault="00036E40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41783B" w:rsidRPr="0041783B" w:rsidRDefault="0041783B" w:rsidP="0041783B">
      <w:pPr>
        <w:pStyle w:val="Default"/>
        <w:spacing w:line="320" w:lineRule="exact"/>
        <w:jc w:val="center"/>
        <w:rPr>
          <w:rFonts w:hint="eastAsia"/>
          <w:b/>
          <w:bCs/>
          <w:i/>
          <w:sz w:val="21"/>
          <w:szCs w:val="21"/>
        </w:rPr>
      </w:pPr>
      <w:proofErr w:type="gramStart"/>
      <w:r w:rsidRPr="0041783B">
        <w:rPr>
          <w:b/>
          <w:i/>
          <w:sz w:val="21"/>
          <w:szCs w:val="21"/>
          <w:shd w:val="clear" w:color="auto" w:fill="FFFFFF"/>
        </w:rPr>
        <w:t>For Research Use Only.</w:t>
      </w:r>
      <w:proofErr w:type="gramEnd"/>
      <w:r w:rsidRPr="0041783B">
        <w:rPr>
          <w:b/>
          <w:i/>
          <w:sz w:val="21"/>
          <w:szCs w:val="21"/>
          <w:shd w:val="clear" w:color="auto" w:fill="FFFFFF"/>
        </w:rPr>
        <w:t xml:space="preserve"> Not For Use </w:t>
      </w:r>
      <w:proofErr w:type="gramStart"/>
      <w:r w:rsidRPr="0041783B">
        <w:rPr>
          <w:b/>
          <w:i/>
          <w:sz w:val="21"/>
          <w:szCs w:val="21"/>
          <w:shd w:val="clear" w:color="auto" w:fill="FFFFFF"/>
        </w:rPr>
        <w:t>In</w:t>
      </w:r>
      <w:proofErr w:type="gramEnd"/>
      <w:r w:rsidRPr="0041783B">
        <w:rPr>
          <w:b/>
          <w:i/>
          <w:sz w:val="21"/>
          <w:szCs w:val="21"/>
          <w:shd w:val="clear" w:color="auto" w:fill="FFFFFF"/>
        </w:rPr>
        <w:t xml:space="preserve"> Diagnostic Procedures.</w:t>
      </w:r>
    </w:p>
    <w:sectPr w:rsidR="0041783B" w:rsidRPr="0041783B" w:rsidSect="00036E40">
      <w:footerReference w:type="default" r:id="rId9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CD" w:rsidRDefault="000254CD" w:rsidP="0065435B">
      <w:r>
        <w:separator/>
      </w:r>
    </w:p>
  </w:endnote>
  <w:endnote w:type="continuationSeparator" w:id="0">
    <w:p w:rsidR="000254CD" w:rsidRDefault="000254CD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6F" w:rsidRPr="009C516F" w:rsidRDefault="009C516F">
    <w:pPr>
      <w:pStyle w:val="a4"/>
      <w:jc w:val="right"/>
    </w:pPr>
  </w:p>
  <w:p w:rsidR="00036E40" w:rsidRPr="00036E40" w:rsidRDefault="009C516F" w:rsidP="009C516F">
    <w:pPr>
      <w:pStyle w:val="a4"/>
      <w:rPr>
        <w:rFonts w:ascii="Arial" w:hAnsi="Arial" w:cs="Arial" w:hint="eastAsia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:rsidR="00F944FB" w:rsidRPr="009C516F" w:rsidRDefault="00036E40" w:rsidP="00036E40">
    <w:pPr>
      <w:pStyle w:val="a4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CD" w:rsidRDefault="000254CD" w:rsidP="0065435B">
      <w:r>
        <w:separator/>
      </w:r>
    </w:p>
  </w:footnote>
  <w:footnote w:type="continuationSeparator" w:id="0">
    <w:p w:rsidR="000254CD" w:rsidRDefault="000254CD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4C23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2611E4"/>
    <w:rsid w:val="0028529B"/>
    <w:rsid w:val="002B464F"/>
    <w:rsid w:val="002D5E46"/>
    <w:rsid w:val="00311F60"/>
    <w:rsid w:val="00371A2F"/>
    <w:rsid w:val="003A58DA"/>
    <w:rsid w:val="00404D1E"/>
    <w:rsid w:val="004169FA"/>
    <w:rsid w:val="0041783B"/>
    <w:rsid w:val="00474083"/>
    <w:rsid w:val="00475678"/>
    <w:rsid w:val="0049205D"/>
    <w:rsid w:val="004D158E"/>
    <w:rsid w:val="00523F89"/>
    <w:rsid w:val="00552AD6"/>
    <w:rsid w:val="00565CE3"/>
    <w:rsid w:val="005C746D"/>
    <w:rsid w:val="005D4CF8"/>
    <w:rsid w:val="005F08A2"/>
    <w:rsid w:val="00623478"/>
    <w:rsid w:val="00643D37"/>
    <w:rsid w:val="0065435B"/>
    <w:rsid w:val="00667AB6"/>
    <w:rsid w:val="00690FB9"/>
    <w:rsid w:val="00695F96"/>
    <w:rsid w:val="006A0154"/>
    <w:rsid w:val="006D2670"/>
    <w:rsid w:val="006E5715"/>
    <w:rsid w:val="0072331A"/>
    <w:rsid w:val="00754FC0"/>
    <w:rsid w:val="0077383D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E39D2"/>
    <w:rsid w:val="009E702B"/>
    <w:rsid w:val="00A34E28"/>
    <w:rsid w:val="00A42706"/>
    <w:rsid w:val="00A42A9B"/>
    <w:rsid w:val="00A75227"/>
    <w:rsid w:val="00AD1737"/>
    <w:rsid w:val="00C37C0A"/>
    <w:rsid w:val="00C47EBC"/>
    <w:rsid w:val="00C51F22"/>
    <w:rsid w:val="00C6161A"/>
    <w:rsid w:val="00CA656E"/>
    <w:rsid w:val="00D45EF4"/>
    <w:rsid w:val="00D77AE7"/>
    <w:rsid w:val="00DB7A57"/>
    <w:rsid w:val="00DE2BC7"/>
    <w:rsid w:val="00DF102E"/>
    <w:rsid w:val="00DF1928"/>
    <w:rsid w:val="00DF27D0"/>
    <w:rsid w:val="00E76797"/>
    <w:rsid w:val="00F205CE"/>
    <w:rsid w:val="00F944F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24</cp:revision>
  <cp:lastPrinted>2015-08-25T13:54:00Z</cp:lastPrinted>
  <dcterms:created xsi:type="dcterms:W3CDTF">2014-09-10T07:38:00Z</dcterms:created>
  <dcterms:modified xsi:type="dcterms:W3CDTF">2015-11-10T14:21:00Z</dcterms:modified>
</cp:coreProperties>
</file>