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3420A2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322D8B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322D8B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Protease Inhibitor </w:t>
                  </w:r>
                  <w:proofErr w:type="gramStart"/>
                  <w:r w:rsidRPr="00322D8B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Cocktail</w:t>
                  </w:r>
                  <w:r w:rsidR="00053ABF" w:rsidRPr="00053ABF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053ABF" w:rsidRPr="00053ABF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,</w:t>
                  </w:r>
                  <w:proofErr w:type="gramEnd"/>
                  <w:r w:rsidR="00053ABF" w:rsidRPr="00053ABF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053ABF" w:rsidRPr="00053ABF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EDTA-free</w:t>
                  </w:r>
                  <w:r w:rsidR="00053ABF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22D8B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(100X)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0A2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404D1E" w:rsidRPr="000B1F5D" w:rsidRDefault="00404D1E" w:rsidP="00404D1E">
      <w:pPr>
        <w:spacing w:line="320" w:lineRule="exact"/>
        <w:rPr>
          <w:rFonts w:ascii="Arial" w:hAnsi="Arial" w:cs="Arial"/>
          <w:b/>
          <w:i/>
          <w:kern w:val="0"/>
          <w:sz w:val="18"/>
          <w:szCs w:val="18"/>
        </w:rPr>
      </w:pPr>
      <w:r w:rsidRPr="000B1F5D">
        <w:rPr>
          <w:rFonts w:ascii="Arial" w:eastAsia="Meiryo" w:hAnsi="Arial" w:cs="Arial"/>
          <w:b/>
          <w:bCs/>
          <w:i/>
          <w:kern w:val="0"/>
          <w:sz w:val="18"/>
          <w:szCs w:val="18"/>
        </w:rPr>
        <w:t xml:space="preserve">Catalog </w:t>
      </w:r>
      <w:proofErr w:type="gramStart"/>
      <w:r w:rsidRPr="000B1F5D">
        <w:rPr>
          <w:rFonts w:ascii="Arial" w:eastAsia="Meiryo" w:hAnsi="Arial" w:cs="Arial"/>
          <w:b/>
          <w:bCs/>
          <w:i/>
          <w:kern w:val="0"/>
          <w:sz w:val="18"/>
          <w:szCs w:val="18"/>
        </w:rPr>
        <w:t>Number :</w:t>
      </w:r>
      <w:proofErr w:type="gramEnd"/>
      <w:r w:rsidRPr="000B1F5D">
        <w:rPr>
          <w:rFonts w:ascii="Arial" w:eastAsia="Meiryo" w:hAnsi="Arial" w:cs="Arial"/>
          <w:b/>
          <w:i/>
          <w:kern w:val="0"/>
          <w:sz w:val="18"/>
          <w:szCs w:val="18"/>
        </w:rPr>
        <w:t xml:space="preserve"> </w:t>
      </w:r>
      <w:r w:rsidR="00322D8B" w:rsidRPr="000B1F5D">
        <w:rPr>
          <w:rFonts w:ascii="Arial" w:hAnsi="Arial" w:cs="Arial"/>
          <w:b/>
          <w:i/>
          <w:kern w:val="0"/>
          <w:sz w:val="18"/>
          <w:szCs w:val="18"/>
        </w:rPr>
        <w:t>MG</w:t>
      </w:r>
      <w:r w:rsidR="00322D8B" w:rsidRPr="000B1F5D">
        <w:rPr>
          <w:rFonts w:ascii="Arial" w:hAnsi="Arial" w:cs="Arial" w:hint="eastAsia"/>
          <w:b/>
          <w:i/>
          <w:kern w:val="0"/>
          <w:sz w:val="18"/>
          <w:szCs w:val="18"/>
        </w:rPr>
        <w:t>2284</w:t>
      </w:r>
      <w:r w:rsidR="00E77E31" w:rsidRPr="000B1F5D">
        <w:rPr>
          <w:rFonts w:ascii="Arial" w:hAnsi="Arial" w:cs="Arial" w:hint="eastAsia"/>
          <w:b/>
          <w:i/>
          <w:kern w:val="0"/>
          <w:sz w:val="18"/>
          <w:szCs w:val="18"/>
        </w:rPr>
        <w:t xml:space="preserve">                                                               </w:t>
      </w:r>
      <w:r w:rsidRPr="000B1F5D">
        <w:rPr>
          <w:rFonts w:ascii="Arial" w:eastAsia="Meiryo" w:hAnsi="Arial" w:cs="Arial"/>
          <w:b/>
          <w:bCs/>
          <w:i/>
          <w:kern w:val="0"/>
          <w:sz w:val="18"/>
          <w:szCs w:val="18"/>
        </w:rPr>
        <w:t xml:space="preserve">Lot Number : </w:t>
      </w:r>
      <w:r w:rsidRPr="000B1F5D">
        <w:rPr>
          <w:rFonts w:ascii="Arial" w:eastAsia="Meiryo" w:hAnsi="Arial" w:cs="Arial"/>
          <w:b/>
          <w:i/>
          <w:kern w:val="0"/>
          <w:sz w:val="18"/>
          <w:szCs w:val="18"/>
        </w:rPr>
        <w:t>Refer to vial</w:t>
      </w:r>
    </w:p>
    <w:p w:rsidR="00E77E31" w:rsidRPr="000B1F5D" w:rsidRDefault="00367F77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i/>
          <w:kern w:val="0"/>
          <w:sz w:val="18"/>
          <w:szCs w:val="18"/>
        </w:rPr>
      </w:pPr>
      <w:r w:rsidRPr="000B1F5D">
        <w:rPr>
          <w:rFonts w:ascii="Arial" w:eastAsia="Meiryo" w:hAnsi="Arial" w:cs="Arial"/>
          <w:b/>
          <w:bCs/>
          <w:i/>
          <w:kern w:val="0"/>
          <w:sz w:val="18"/>
          <w:szCs w:val="18"/>
        </w:rPr>
        <w:t>Package</w:t>
      </w:r>
      <w:r w:rsidRPr="000B1F5D">
        <w:rPr>
          <w:rFonts w:ascii="Arial" w:hAnsi="Arial" w:cs="Arial" w:hint="eastAsia"/>
          <w:b/>
          <w:bCs/>
          <w:i/>
          <w:kern w:val="0"/>
          <w:sz w:val="18"/>
          <w:szCs w:val="18"/>
        </w:rPr>
        <w:t xml:space="preserve"> :  </w:t>
      </w:r>
      <w:r w:rsidRPr="000B1F5D">
        <w:rPr>
          <w:rFonts w:asciiTheme="minorEastAsia" w:hAnsiTheme="minorEastAsia" w:cs="Arial" w:hint="eastAsia"/>
          <w:b/>
          <w:bCs/>
          <w:i/>
          <w:kern w:val="0"/>
          <w:sz w:val="18"/>
          <w:szCs w:val="18"/>
        </w:rPr>
        <w:t xml:space="preserve">□ </w:t>
      </w:r>
      <w:r w:rsidRPr="000B1F5D">
        <w:rPr>
          <w:rFonts w:ascii="Arial" w:hAnsi="Arial" w:cs="Arial" w:hint="eastAsia"/>
          <w:b/>
          <w:bCs/>
          <w:i/>
          <w:kern w:val="0"/>
          <w:sz w:val="18"/>
          <w:szCs w:val="18"/>
        </w:rPr>
        <w:t xml:space="preserve">1.0mL    </w:t>
      </w:r>
      <w:r w:rsidRPr="000B1F5D">
        <w:rPr>
          <w:rFonts w:asciiTheme="minorEastAsia" w:hAnsiTheme="minorEastAsia" w:cs="Arial" w:hint="eastAsia"/>
          <w:b/>
          <w:bCs/>
          <w:i/>
          <w:kern w:val="0"/>
          <w:sz w:val="18"/>
          <w:szCs w:val="18"/>
        </w:rPr>
        <w:t xml:space="preserve">□ </w:t>
      </w:r>
      <w:r w:rsidRPr="000B1F5D">
        <w:rPr>
          <w:rFonts w:ascii="Arial" w:hAnsi="Arial" w:cs="Arial"/>
          <w:b/>
          <w:bCs/>
          <w:i/>
          <w:kern w:val="0"/>
          <w:sz w:val="18"/>
          <w:szCs w:val="18"/>
        </w:rPr>
        <w:t>10</w:t>
      </w:r>
      <w:r w:rsidRPr="000B1F5D">
        <w:rPr>
          <w:rFonts w:ascii="Arial" w:hAnsi="Arial" w:cs="Arial" w:hint="eastAsia"/>
          <w:b/>
          <w:bCs/>
          <w:i/>
          <w:kern w:val="0"/>
          <w:sz w:val="18"/>
          <w:szCs w:val="18"/>
        </w:rPr>
        <w:t>X</w:t>
      </w:r>
      <w:r w:rsidRPr="000B1F5D">
        <w:rPr>
          <w:rFonts w:ascii="Arial" w:hAnsi="Arial" w:cs="Arial"/>
          <w:b/>
          <w:bCs/>
          <w:i/>
          <w:kern w:val="0"/>
          <w:sz w:val="18"/>
          <w:szCs w:val="18"/>
        </w:rPr>
        <w:t>1.0m</w:t>
      </w:r>
      <w:r w:rsidRPr="000B1F5D">
        <w:rPr>
          <w:rFonts w:ascii="Arial" w:hAnsi="Arial" w:cs="Arial" w:hint="eastAsia"/>
          <w:b/>
          <w:bCs/>
          <w:i/>
          <w:kern w:val="0"/>
          <w:sz w:val="18"/>
          <w:szCs w:val="18"/>
        </w:rPr>
        <w:t>L</w:t>
      </w:r>
    </w:p>
    <w:p w:rsidR="00367F77" w:rsidRPr="000B1F5D" w:rsidRDefault="00367F77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  <w:shd w:val="clear" w:color="auto" w:fill="FCFDFD"/>
        </w:rPr>
      </w:pPr>
    </w:p>
    <w:p w:rsidR="00E77E31" w:rsidRPr="000B1F5D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i/>
          <w:color w:val="000000" w:themeColor="text1"/>
          <w:szCs w:val="21"/>
          <w:u w:val="thick"/>
          <w:shd w:val="clear" w:color="auto" w:fill="FCFDFD"/>
        </w:rPr>
      </w:pPr>
      <w:r w:rsidRPr="000B1F5D">
        <w:rPr>
          <w:rFonts w:ascii="Arial" w:eastAsia="Meiryo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  <w:t>Application</w:t>
      </w:r>
    </w:p>
    <w:p w:rsidR="00367F77" w:rsidRPr="000B1F5D" w:rsidRDefault="00367F77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i/>
          <w:color w:val="222222"/>
          <w:szCs w:val="21"/>
          <w:shd w:val="clear" w:color="auto" w:fill="FCFDFD"/>
        </w:rPr>
      </w:pPr>
      <w:proofErr w:type="gram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EDTA-free mixture of several protease inhibitors that inhibit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cysteine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and serine, but not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metalloproteases</w:t>
      </w:r>
      <w:proofErr w:type="spellEnd"/>
      <w:r w:rsidRPr="000B1F5D">
        <w:rPr>
          <w:rFonts w:ascii="Arial" w:hAnsi="Arial" w:cs="Arial" w:hint="eastAsia"/>
          <w:i/>
          <w:color w:val="222222"/>
          <w:szCs w:val="21"/>
          <w:shd w:val="clear" w:color="auto" w:fill="FCFDFD"/>
        </w:rPr>
        <w:t>.</w:t>
      </w:r>
      <w:proofErr w:type="gramEnd"/>
    </w:p>
    <w:p w:rsidR="00E77E31" w:rsidRPr="000B1F5D" w:rsidRDefault="00E77E31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  <w:shd w:val="clear" w:color="auto" w:fill="FCFDFD"/>
        </w:rPr>
      </w:pPr>
    </w:p>
    <w:p w:rsidR="00404D1E" w:rsidRPr="000B1F5D" w:rsidRDefault="00404D1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</w:pPr>
      <w:r w:rsidRPr="000B1F5D">
        <w:rPr>
          <w:rFonts w:ascii="Arial" w:eastAsia="Meiryo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  <w:t>Background</w:t>
      </w:r>
    </w:p>
    <w:p w:rsidR="00E77E31" w:rsidRPr="000B1F5D" w:rsidRDefault="00322D8B" w:rsidP="00E77E31">
      <w:pPr>
        <w:widowControl/>
        <w:shd w:val="clear" w:color="auto" w:fill="FFFFFF"/>
        <w:spacing w:line="320" w:lineRule="exact"/>
        <w:rPr>
          <w:rFonts w:ascii="Arial" w:eastAsia="Meiryo" w:hAnsi="Arial" w:cs="Arial"/>
          <w:i/>
          <w:color w:val="222222"/>
          <w:szCs w:val="21"/>
          <w:shd w:val="clear" w:color="auto" w:fill="FCFDFD"/>
        </w:rPr>
      </w:pPr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Protease Inhibitor Cocktail, EDTA-free (100X) are ready-to-use concentrated stock </w:t>
      </w:r>
      <w:r w:rsidR="00053ABF" w:rsidRPr="000B1F5D">
        <w:rPr>
          <w:rFonts w:ascii="Arial" w:hAnsi="Arial" w:cs="Arial" w:hint="eastAsia"/>
          <w:i/>
          <w:color w:val="222222"/>
          <w:szCs w:val="21"/>
          <w:shd w:val="clear" w:color="auto" w:fill="FCFDFD"/>
        </w:rPr>
        <w:t xml:space="preserve">DMSO </w:t>
      </w:r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solutions of protease inhibitors for addition to samples to prevent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proteolytic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degradation during cell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lysis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and protein extraction. Each component has specific inhibitory properties. </w:t>
      </w:r>
      <w:proofErr w:type="gram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AEBSF and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Aprotinin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act to inhibit serine proteases, including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trypsin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,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chymotrypsin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, and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plasmin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amongst others.</w:t>
      </w:r>
      <w:proofErr w:type="gram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Bestatin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inhibits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aminpeptidases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. E-64 acts against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cystein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proteases.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Leupeptin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acts against both serine and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cystein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proteases. </w:t>
      </w:r>
      <w:proofErr w:type="spellStart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>Pepstatin</w:t>
      </w:r>
      <w:proofErr w:type="spellEnd"/>
      <w:r w:rsidRPr="000B1F5D">
        <w:rPr>
          <w:rFonts w:ascii="Arial" w:eastAsia="Meiryo" w:hAnsi="Arial" w:cs="Arial"/>
          <w:i/>
          <w:color w:val="222222"/>
          <w:szCs w:val="21"/>
          <w:shd w:val="clear" w:color="auto" w:fill="FCFDFD"/>
        </w:rPr>
        <w:t xml:space="preserve"> A inhibits acid proteases.</w:t>
      </w:r>
    </w:p>
    <w:p w:rsidR="00322D8B" w:rsidRPr="000B1F5D" w:rsidRDefault="00322D8B" w:rsidP="00E77E31">
      <w:pPr>
        <w:widowControl/>
        <w:shd w:val="clear" w:color="auto" w:fill="FFFFFF"/>
        <w:spacing w:line="320" w:lineRule="exact"/>
        <w:rPr>
          <w:rFonts w:ascii="Arial" w:hAnsi="Arial" w:cs="Arial" w:hint="eastAsia"/>
          <w:b/>
          <w:i/>
          <w:color w:val="222222"/>
          <w:sz w:val="18"/>
          <w:szCs w:val="18"/>
          <w:shd w:val="clear" w:color="auto" w:fill="FCFDFD"/>
        </w:rPr>
      </w:pPr>
    </w:p>
    <w:p w:rsidR="00322D8B" w:rsidRPr="000B1F5D" w:rsidRDefault="00367F77" w:rsidP="00367F77">
      <w:pPr>
        <w:autoSpaceDE w:val="0"/>
        <w:autoSpaceDN w:val="0"/>
        <w:adjustRightInd w:val="0"/>
        <w:spacing w:line="320" w:lineRule="exact"/>
        <w:rPr>
          <w:rFonts w:ascii="Arial" w:eastAsia="Meiryo" w:hAnsi="Arial" w:cs="Arial" w:hint="eastAsia"/>
          <w:b/>
          <w:bCs/>
          <w:i/>
          <w:color w:val="000000" w:themeColor="text1"/>
          <w:szCs w:val="21"/>
          <w:u w:val="thick"/>
          <w:shd w:val="clear" w:color="auto" w:fill="FCFDFD"/>
        </w:rPr>
      </w:pPr>
      <w:r w:rsidRPr="000B1F5D">
        <w:rPr>
          <w:rFonts w:ascii="Arial" w:hAnsi="Arial" w:cs="Arial" w:hint="eastAsia"/>
          <w:b/>
          <w:bCs/>
          <w:i/>
          <w:color w:val="000000" w:themeColor="text1"/>
          <w:szCs w:val="21"/>
          <w:u w:val="thick"/>
          <w:shd w:val="clear" w:color="auto" w:fill="FCFDFD"/>
        </w:rPr>
        <w:t>Cocktail c</w:t>
      </w:r>
      <w:r w:rsidRPr="000B1F5D">
        <w:rPr>
          <w:rFonts w:ascii="Arial" w:eastAsia="Meiryo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  <w:t>omponent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42"/>
        <w:gridCol w:w="2268"/>
        <w:gridCol w:w="2268"/>
        <w:gridCol w:w="3543"/>
      </w:tblGrid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0B1F5D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CAS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</w:pPr>
            <w:r w:rsidRPr="000B1F5D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>C</w:t>
            </w:r>
            <w:r w:rsidRPr="000B1F5D"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oncentration</w:t>
            </w:r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</w:pPr>
            <w:r w:rsidRPr="000B1F5D">
              <w:rPr>
                <w:rFonts w:ascii="Arial" w:eastAsia="宋体" w:hAnsi="Arial" w:cs="Arial" w:hint="eastAsia"/>
                <w:i/>
                <w:color w:val="000000"/>
                <w:kern w:val="0"/>
                <w:szCs w:val="21"/>
              </w:rPr>
              <w:t xml:space="preserve">Target </w:t>
            </w:r>
            <w:r w:rsidRPr="000B1F5D">
              <w:rPr>
                <w:rFonts w:ascii="Arial" w:eastAsia="宋体" w:hAnsi="Arial" w:cs="Arial"/>
                <w:i/>
                <w:color w:val="000000"/>
                <w:kern w:val="0"/>
                <w:szCs w:val="21"/>
              </w:rPr>
              <w:t>proteases</w:t>
            </w:r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AEBSF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30827-99-7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10</w:t>
            </w:r>
            <w:r w:rsidRPr="000B1F5D">
              <w:rPr>
                <w:rFonts w:ascii="Arial" w:eastAsia="宋体" w:hAnsi="Arial" w:cs="Arial" w:hint="eastAsia"/>
                <w:i/>
                <w:color w:val="000000"/>
                <w:kern w:val="0"/>
                <w:sz w:val="18"/>
                <w:szCs w:val="18"/>
              </w:rPr>
              <w:t>0</w:t>
            </w: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Serine proteases</w:t>
            </w:r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Aprotinin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9087-70-1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80 </w:t>
            </w: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Serine proteases</w:t>
            </w:r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Bestatin</w:t>
            </w:r>
            <w:proofErr w:type="spellEnd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Ubenimex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58970-76-6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5 </w:t>
            </w: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Aminopeptidases</w:t>
            </w:r>
            <w:proofErr w:type="spellEnd"/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E64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66701-25-5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1.5 </w:t>
            </w: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Cysteine</w:t>
            </w:r>
            <w:proofErr w:type="spellEnd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 proteases</w:t>
            </w:r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Pepstatin</w:t>
            </w:r>
            <w:proofErr w:type="spellEnd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26305-03-3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1.0</w:t>
            </w: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Aspartic proteases</w:t>
            </w:r>
          </w:p>
        </w:tc>
      </w:tr>
      <w:tr w:rsidR="00053ABF" w:rsidRPr="000B1F5D" w:rsidTr="000B1F5D">
        <w:trPr>
          <w:trHeight w:hRule="exact" w:val="34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Leupeptin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3ABF" w:rsidRPr="00367F77" w:rsidRDefault="00053ABF" w:rsidP="00367F77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103476-89-7</w:t>
            </w:r>
          </w:p>
        </w:tc>
        <w:tc>
          <w:tcPr>
            <w:tcW w:w="2268" w:type="dxa"/>
            <w:vAlign w:val="center"/>
          </w:tcPr>
          <w:p w:rsidR="00053ABF" w:rsidRPr="00367F77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2 </w:t>
            </w:r>
            <w:proofErr w:type="spellStart"/>
            <w:r w:rsidRPr="00367F77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3543" w:type="dxa"/>
          </w:tcPr>
          <w:p w:rsidR="00053ABF" w:rsidRPr="000B1F5D" w:rsidRDefault="00053ABF" w:rsidP="001517E5">
            <w:pPr>
              <w:widowControl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Serine and </w:t>
            </w:r>
            <w:proofErr w:type="spellStart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cysteine</w:t>
            </w:r>
            <w:proofErr w:type="spellEnd"/>
            <w:r w:rsidRPr="000B1F5D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 xml:space="preserve"> proteases</w:t>
            </w:r>
          </w:p>
        </w:tc>
      </w:tr>
    </w:tbl>
    <w:p w:rsidR="00053ABF" w:rsidRPr="000B1F5D" w:rsidRDefault="00053ABF" w:rsidP="00E77E31">
      <w:pPr>
        <w:widowControl/>
        <w:shd w:val="clear" w:color="auto" w:fill="FFFFFF"/>
        <w:spacing w:line="320" w:lineRule="exact"/>
        <w:rPr>
          <w:rFonts w:ascii="Arial" w:hAnsi="Arial" w:cs="Arial" w:hint="eastAsia"/>
          <w:b/>
          <w:i/>
          <w:color w:val="222222"/>
          <w:sz w:val="18"/>
          <w:szCs w:val="18"/>
          <w:shd w:val="clear" w:color="auto" w:fill="FCFDFD"/>
        </w:rPr>
      </w:pPr>
    </w:p>
    <w:p w:rsidR="00053ABF" w:rsidRPr="000B1F5D" w:rsidRDefault="00053ABF" w:rsidP="000B1F5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</w:pPr>
      <w:r w:rsidRPr="000B1F5D">
        <w:rPr>
          <w:rFonts w:ascii="Arial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  <w:t>Procedure</w:t>
      </w:r>
      <w:r w:rsidRPr="000B1F5D">
        <w:rPr>
          <w:rFonts w:ascii="Arial" w:hAnsi="Arial" w:cs="Arial"/>
          <w:b/>
          <w:bCs/>
          <w:i/>
          <w:color w:val="000000" w:themeColor="text1"/>
          <w:szCs w:val="21"/>
          <w:shd w:val="clear" w:color="auto" w:fill="FCFDFD"/>
        </w:rPr>
        <w:t xml:space="preserve"> </w:t>
      </w:r>
    </w:p>
    <w:p w:rsidR="00053ABF" w:rsidRPr="000B1F5D" w:rsidRDefault="000B1F5D" w:rsidP="000B1F5D">
      <w:pPr>
        <w:pStyle w:val="Default"/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</w:pPr>
      <w:r>
        <w:rPr>
          <w:rFonts w:hint="eastAsia"/>
          <w:i/>
          <w:color w:val="222222"/>
          <w:kern w:val="2"/>
          <w:sz w:val="21"/>
          <w:szCs w:val="21"/>
          <w:shd w:val="clear" w:color="auto" w:fill="FCFDFD"/>
        </w:rPr>
        <w:t>1</w:t>
      </w:r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 xml:space="preserve">. Equilibrate the tube to room temperature. </w:t>
      </w:r>
      <w:proofErr w:type="gramStart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>Vortex the tube before use to ensure a homogeneous suspension.</w:t>
      </w:r>
      <w:proofErr w:type="gramEnd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 xml:space="preserve"> </w:t>
      </w:r>
    </w:p>
    <w:p w:rsidR="00053ABF" w:rsidRDefault="000B1F5D" w:rsidP="000B1F5D">
      <w:pPr>
        <w:pStyle w:val="Default"/>
        <w:rPr>
          <w:rFonts w:hint="eastAsia"/>
          <w:i/>
          <w:color w:val="222222"/>
          <w:kern w:val="2"/>
          <w:sz w:val="21"/>
          <w:szCs w:val="21"/>
          <w:shd w:val="clear" w:color="auto" w:fill="FCFDFD"/>
        </w:rPr>
      </w:pPr>
      <w:r>
        <w:rPr>
          <w:rFonts w:hint="eastAsia"/>
          <w:i/>
          <w:color w:val="222222"/>
          <w:kern w:val="2"/>
          <w:sz w:val="21"/>
          <w:szCs w:val="21"/>
          <w:shd w:val="clear" w:color="auto" w:fill="FCFDFD"/>
        </w:rPr>
        <w:t>2</w:t>
      </w:r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>. Add Protease Inhibitor Cocktail at 10μL/</w:t>
      </w:r>
      <w:proofErr w:type="spellStart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>mL</w:t>
      </w:r>
      <w:proofErr w:type="spellEnd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 xml:space="preserve"> directly to the </w:t>
      </w:r>
      <w:proofErr w:type="spellStart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>lysis</w:t>
      </w:r>
      <w:proofErr w:type="spellEnd"/>
      <w:r w:rsidR="00053ABF" w:rsidRPr="000B1F5D">
        <w:rPr>
          <w:rFonts w:eastAsia="Meiryo"/>
          <w:i/>
          <w:color w:val="222222"/>
          <w:kern w:val="2"/>
          <w:sz w:val="21"/>
          <w:szCs w:val="21"/>
          <w:shd w:val="clear" w:color="auto" w:fill="FCFDFD"/>
        </w:rPr>
        <w:t xml:space="preserve"> buffer or cell extract to produce a 1X final concentration. </w:t>
      </w:r>
    </w:p>
    <w:p w:rsidR="000B1F5D" w:rsidRPr="000B1F5D" w:rsidRDefault="000B1F5D" w:rsidP="000B1F5D">
      <w:pPr>
        <w:pStyle w:val="Default"/>
        <w:rPr>
          <w:rFonts w:hint="eastAsia"/>
          <w:i/>
          <w:color w:val="222222"/>
          <w:kern w:val="2"/>
          <w:sz w:val="21"/>
          <w:szCs w:val="21"/>
          <w:shd w:val="clear" w:color="auto" w:fill="FCFDFD"/>
        </w:rPr>
      </w:pPr>
    </w:p>
    <w:p w:rsidR="00DF102E" w:rsidRPr="000B1F5D" w:rsidRDefault="00DF102E" w:rsidP="00DF102E">
      <w:pPr>
        <w:autoSpaceDE w:val="0"/>
        <w:autoSpaceDN w:val="0"/>
        <w:adjustRightInd w:val="0"/>
        <w:spacing w:line="320" w:lineRule="exact"/>
        <w:rPr>
          <w:rFonts w:ascii="Arial" w:eastAsia="Meiryo" w:hAnsi="Arial" w:cs="Arial"/>
          <w:b/>
          <w:bCs/>
          <w:i/>
          <w:color w:val="000000" w:themeColor="text1"/>
          <w:szCs w:val="21"/>
          <w:u w:val="thick"/>
          <w:shd w:val="clear" w:color="auto" w:fill="FCFDFD"/>
        </w:rPr>
      </w:pPr>
      <w:r w:rsidRPr="000B1F5D">
        <w:rPr>
          <w:rFonts w:ascii="Arial" w:eastAsia="Meiryo" w:hAnsi="Arial" w:cs="Arial" w:hint="eastAsia"/>
          <w:b/>
          <w:bCs/>
          <w:i/>
          <w:color w:val="000000" w:themeColor="text1"/>
          <w:szCs w:val="21"/>
          <w:u w:val="thick"/>
          <w:shd w:val="clear" w:color="auto" w:fill="FCFDFD"/>
        </w:rPr>
        <w:t>Storage</w:t>
      </w:r>
    </w:p>
    <w:p w:rsidR="00DF102E" w:rsidRPr="000B1F5D" w:rsidRDefault="00367F77" w:rsidP="00404D1E">
      <w:pPr>
        <w:pStyle w:val="Default"/>
        <w:spacing w:line="320" w:lineRule="exact"/>
        <w:rPr>
          <w:rFonts w:eastAsia="Meiryo"/>
          <w:b/>
          <w:i/>
          <w:color w:val="222222"/>
          <w:kern w:val="2"/>
          <w:sz w:val="18"/>
          <w:szCs w:val="18"/>
          <w:shd w:val="clear" w:color="auto" w:fill="FCFDFD"/>
        </w:rPr>
      </w:pPr>
      <w:r w:rsidRPr="000B1F5D">
        <w:rPr>
          <w:rFonts w:asciiTheme="minorEastAsia" w:hAnsiTheme="minorEastAsia" w:hint="eastAsia"/>
          <w:b/>
          <w:i/>
          <w:color w:val="222222"/>
          <w:kern w:val="2"/>
          <w:sz w:val="18"/>
          <w:szCs w:val="18"/>
          <w:shd w:val="clear" w:color="auto" w:fill="FCFDFD"/>
        </w:rPr>
        <w:t>-</w:t>
      </w:r>
      <w:r w:rsidRPr="000B1F5D">
        <w:rPr>
          <w:rFonts w:eastAsia="Meiryo"/>
          <w:b/>
          <w:i/>
          <w:color w:val="222222"/>
          <w:kern w:val="2"/>
          <w:sz w:val="18"/>
          <w:szCs w:val="18"/>
          <w:shd w:val="clear" w:color="auto" w:fill="FCFDFD"/>
        </w:rPr>
        <w:t>20°C</w:t>
      </w: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B1F5D" w:rsidRDefault="000B1F5D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B1F5D" w:rsidRDefault="000B1F5D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B1F5D" w:rsidRDefault="000B1F5D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0B1F5D" w:rsidRDefault="000B1F5D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r w:rsidRPr="0041783B">
        <w:rPr>
          <w:b/>
          <w:i/>
          <w:sz w:val="21"/>
          <w:szCs w:val="21"/>
          <w:shd w:val="clear" w:color="auto" w:fill="FFFFFF"/>
        </w:rPr>
        <w:t xml:space="preserve">For Research Use Only.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036E40"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00" w:rsidRDefault="005D3600" w:rsidP="0065435B">
      <w:r>
        <w:separator/>
      </w:r>
    </w:p>
  </w:endnote>
  <w:endnote w:type="continuationSeparator" w:id="0">
    <w:p w:rsidR="005D3600" w:rsidRDefault="005D3600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00" w:rsidRDefault="005D3600" w:rsidP="0065435B">
      <w:r>
        <w:separator/>
      </w:r>
    </w:p>
  </w:footnote>
  <w:footnote w:type="continuationSeparator" w:id="0">
    <w:p w:rsidR="005D3600" w:rsidRDefault="005D3600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1A585"/>
    <w:multiLevelType w:val="hybridMultilevel"/>
    <w:tmpl w:val="46E78D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0074F"/>
    <w:multiLevelType w:val="hybridMultilevel"/>
    <w:tmpl w:val="C602E6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57B9E5"/>
    <w:multiLevelType w:val="hybridMultilevel"/>
    <w:tmpl w:val="4624D6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53ABF"/>
    <w:rsid w:val="00071EFE"/>
    <w:rsid w:val="0009712E"/>
    <w:rsid w:val="000A4EB5"/>
    <w:rsid w:val="000A61A3"/>
    <w:rsid w:val="000B1F5D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0014"/>
    <w:rsid w:val="002611E4"/>
    <w:rsid w:val="0028529B"/>
    <w:rsid w:val="002B464F"/>
    <w:rsid w:val="002D5E46"/>
    <w:rsid w:val="00311F60"/>
    <w:rsid w:val="00322D8B"/>
    <w:rsid w:val="003420A2"/>
    <w:rsid w:val="00367F77"/>
    <w:rsid w:val="00371A2F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3600"/>
    <w:rsid w:val="005D4CF8"/>
    <w:rsid w:val="005F08A2"/>
    <w:rsid w:val="00623478"/>
    <w:rsid w:val="00643D37"/>
    <w:rsid w:val="0065435B"/>
    <w:rsid w:val="00662B08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C37C0A"/>
    <w:rsid w:val="00C47EBC"/>
    <w:rsid w:val="00C51F22"/>
    <w:rsid w:val="00C6161A"/>
    <w:rsid w:val="00C91E8E"/>
    <w:rsid w:val="00CA656E"/>
    <w:rsid w:val="00D45EF4"/>
    <w:rsid w:val="00D77AE7"/>
    <w:rsid w:val="00DB7A57"/>
    <w:rsid w:val="00DE2BC7"/>
    <w:rsid w:val="00DF102E"/>
    <w:rsid w:val="00DF1928"/>
    <w:rsid w:val="00DF27D0"/>
    <w:rsid w:val="00E76797"/>
    <w:rsid w:val="00E77E31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26</cp:revision>
  <cp:lastPrinted>2015-08-25T13:54:00Z</cp:lastPrinted>
  <dcterms:created xsi:type="dcterms:W3CDTF">2014-09-10T07:38:00Z</dcterms:created>
  <dcterms:modified xsi:type="dcterms:W3CDTF">2016-01-07T13:37:00Z</dcterms:modified>
</cp:coreProperties>
</file>