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Pr="004B5838" w:rsidRDefault="00C21A4B" w:rsidP="003A58DA">
      <w:pPr>
        <w:spacing w:line="480" w:lineRule="auto"/>
        <w:ind w:right="1400"/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</w:pPr>
      <w:r w:rsidRPr="004B5838">
        <w:rPr>
          <w:rFonts w:ascii="Arial" w:hAnsi="Arial" w:cs="Arial"/>
          <w:b/>
          <w:bCs/>
          <w:noProof/>
          <w:color w:val="000000" w:themeColor="text1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5f497a [2407]" strokecolor="black [3213]" strokeweight="1.5pt">
            <v:textbox style="mso-next-textbox:#_x0000_s2050">
              <w:txbxContent>
                <w:p w:rsidR="00404D1E" w:rsidRPr="005F08A2" w:rsidRDefault="00D647F2" w:rsidP="00404D1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4B5838"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>SB216763</w:t>
                  </w:r>
                  <w:r w:rsidR="00571FEB">
                    <w:rPr>
                      <w:rFonts w:ascii="Arial" w:hAnsi="Arial" w:cs="Arial" w:hint="eastAsia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 xml:space="preserve">                                       </w:t>
                  </w:r>
                  <w:r>
                    <w:rPr>
                      <w:rFonts w:ascii="Arial" w:hAnsi="Arial" w:cs="Arial" w:hint="eastAsia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 xml:space="preserve">        </w:t>
                  </w:r>
                  <w:r w:rsidR="0063402B">
                    <w:rPr>
                      <w:rFonts w:ascii="Arial" w:hAnsi="Arial" w:cs="Arial" w:hint="eastAsia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 xml:space="preserve">    </w:t>
                  </w:r>
                  <w:r w:rsidR="0063402B">
                    <w:rPr>
                      <w:rFonts w:ascii="Arial" w:hAnsi="Arial" w:cs="Arial" w:hint="eastAsia"/>
                      <w:b/>
                      <w:bCs/>
                      <w:noProof/>
                      <w:color w:val="FFFFFF" w:themeColor="background1"/>
                      <w:sz w:val="18"/>
                      <w:szCs w:val="18"/>
                    </w:rPr>
                    <w:t>Package : 10mg</w:t>
                  </w:r>
                </w:p>
              </w:txbxContent>
            </v:textbox>
          </v:shape>
        </w:pict>
      </w:r>
    </w:p>
    <w:p w:rsidR="00DF27D0" w:rsidRPr="004B5838" w:rsidRDefault="00404D1E" w:rsidP="003A58DA">
      <w:pPr>
        <w:spacing w:line="480" w:lineRule="auto"/>
        <w:ind w:right="1400"/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</w:pPr>
      <w:r w:rsidRPr="004B5838">
        <w:rPr>
          <w:rFonts w:ascii="Arial" w:hAnsi="Arial" w:cs="Arial"/>
          <w:b/>
          <w:bCs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272415</wp:posOffset>
            </wp:positionV>
            <wp:extent cx="1000125" cy="44767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A4B" w:rsidRPr="004B5838">
        <w:rPr>
          <w:rFonts w:ascii="Arial" w:hAnsi="Arial" w:cs="Arial"/>
          <w:b/>
          <w:bCs/>
          <w:noProof/>
          <w:color w:val="000000" w:themeColor="text1"/>
          <w:kern w:val="0"/>
          <w:sz w:val="28"/>
          <w:szCs w:val="28"/>
        </w:rPr>
        <w:pict>
          <v:shape id="_x0000_s2051" type="#_x0000_t202" style="position:absolute;left:0;text-align:left;margin-left:1.4pt;margin-top:14.75pt;width:433.05pt;height:42.75pt;z-index:251661312;mso-position-horizontal-relative:text;mso-position-vertical-relative:text;mso-width-relative:margin;mso-height-relative:margin" fillcolor="#5f497a [2407]" strokecolor="black [3213]" strokeweight="1.5pt">
            <v:textbox style="mso-next-textbox:#_x0000_s2051">
              <w:txbxContent>
                <w:p w:rsidR="00695F96" w:rsidRPr="009E702B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9E702B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Pr="004B5838" w:rsidRDefault="0063402B" w:rsidP="003A58DA">
      <w:pPr>
        <w:spacing w:line="480" w:lineRule="auto"/>
        <w:ind w:right="1400"/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382905</wp:posOffset>
            </wp:positionV>
            <wp:extent cx="1609725" cy="1438275"/>
            <wp:effectExtent l="19050" t="0" r="9525" b="0"/>
            <wp:wrapNone/>
            <wp:docPr id="3" name="图片 1" descr="SB 216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 2167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851" b="3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838" w:rsidRDefault="0063402B" w:rsidP="00EF44C4">
      <w:pPr>
        <w:pStyle w:val="Default"/>
        <w:spacing w:line="360" w:lineRule="exact"/>
        <w:rPr>
          <w:rFonts w:hint="eastAsia"/>
          <w:b/>
          <w:bCs/>
          <w:color w:val="000000" w:themeColor="text1"/>
          <w:sz w:val="18"/>
          <w:szCs w:val="18"/>
        </w:rPr>
      </w:pPr>
      <w:r w:rsidRPr="004B5838">
        <w:rPr>
          <w:b/>
          <w:bCs/>
          <w:noProof/>
          <w:color w:val="000000" w:themeColor="text1"/>
          <w:sz w:val="18"/>
          <w:szCs w:val="18"/>
        </w:rPr>
        <w:pict>
          <v:shape id="_x0000_s2053" type="#_x0000_t202" style="position:absolute;margin-left:-4.95pt;margin-top:3.4pt;width:203.05pt;height:86.6pt;z-index:251664384;mso-width-percent:400;mso-width-percent:400;mso-width-relative:margin;mso-height-relative:margin" strokecolor="white [3212]">
            <v:textbox>
              <w:txbxContent>
                <w:p w:rsidR="004B5838" w:rsidRPr="004B5838" w:rsidRDefault="004B5838" w:rsidP="004B5838">
                  <w:pPr>
                    <w:spacing w:line="360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4B5838">
                    <w:rPr>
                      <w:rFonts w:ascii="Arial" w:eastAsia="Meiryo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Catalog </w:t>
                  </w:r>
                  <w:proofErr w:type="gramStart"/>
                  <w:r w:rsidRPr="004B5838">
                    <w:rPr>
                      <w:rFonts w:ascii="Arial" w:eastAsia="Meiryo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Number :</w:t>
                  </w:r>
                  <w:proofErr w:type="gramEnd"/>
                  <w:r w:rsidRPr="004B5838">
                    <w:rPr>
                      <w:rFonts w:ascii="Arial" w:eastAsia="Meiryo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4B5838">
                    <w:rPr>
                      <w:rFonts w:ascii="Arial" w:eastAsia="Meiryo" w:hAnsi="Arial" w:cs="Arial"/>
                      <w:color w:val="000000" w:themeColor="text1"/>
                      <w:sz w:val="18"/>
                      <w:szCs w:val="18"/>
                    </w:rPr>
                    <w:t>M</w:t>
                  </w:r>
                  <w:r w:rsidRPr="004B583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G29903</w:t>
                  </w:r>
                </w:p>
                <w:p w:rsidR="004B5838" w:rsidRPr="004B5838" w:rsidRDefault="004B5838" w:rsidP="004B5838">
                  <w:pPr>
                    <w:spacing w:line="360" w:lineRule="auto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4B5838">
                    <w:rPr>
                      <w:rFonts w:ascii="Arial" w:eastAsia="Meiryo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Appearance</w:t>
                  </w:r>
                  <w:r w:rsidRPr="004B5838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4B5838">
                    <w:rPr>
                      <w:rFonts w:ascii="Arial" w:eastAsia="Meiryo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  <w:proofErr w:type="gramEnd"/>
                  <w:r w:rsidRPr="004B5838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4B5838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Off-white to orange(solid)</w:t>
                  </w:r>
                </w:p>
                <w:p w:rsidR="004B5838" w:rsidRPr="004B5838" w:rsidRDefault="004B5838" w:rsidP="004B5838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4B5838">
                    <w:rPr>
                      <w:rFonts w:ascii="Arial" w:hAnsi="Arial" w:cs="Arial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 xml:space="preserve">Molecular </w:t>
                  </w:r>
                  <w:proofErr w:type="gramStart"/>
                  <w:r w:rsidRPr="004B5838">
                    <w:rPr>
                      <w:rFonts w:ascii="Arial" w:hAnsi="Arial" w:cs="Arial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weight :</w:t>
                  </w:r>
                  <w:proofErr w:type="gramEnd"/>
                  <w:r w:rsidRPr="004B5838">
                    <w:rPr>
                      <w:rFonts w:ascii="Arial" w:hAnsi="Arial" w:cs="Arial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 xml:space="preserve"> </w:t>
                  </w:r>
                  <w:r w:rsidRPr="004B5838">
                    <w:rPr>
                      <w:rFonts w:ascii="Arial" w:hAnsi="Arial" w:cs="Arial"/>
                      <w:color w:val="000000" w:themeColor="text1"/>
                      <w:kern w:val="0"/>
                      <w:sz w:val="18"/>
                      <w:szCs w:val="18"/>
                    </w:rPr>
                    <w:t xml:space="preserve">371.22 </w:t>
                  </w:r>
                  <w:r w:rsidRPr="004B5838">
                    <w:rPr>
                      <w:rFonts w:ascii="Arial" w:hAnsi="Arial" w:cs="Arial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4B5838" w:rsidRPr="004B5838">
        <w:rPr>
          <w:b/>
          <w:bCs/>
          <w:noProof/>
          <w:color w:val="000000" w:themeColor="text1"/>
          <w:sz w:val="18"/>
          <w:szCs w:val="18"/>
        </w:rPr>
        <w:pict>
          <v:shape id="_x0000_s2054" type="#_x0000_t202" style="position:absolute;margin-left:210.25pt;margin-top:2.75pt;width:203.25pt;height:92.15pt;z-index:251666432;mso-width-percent:400;mso-width-percent:400;mso-width-relative:margin;mso-height-relative:margin" strokecolor="white [3212]">
            <v:textbox>
              <w:txbxContent>
                <w:p w:rsidR="004B5838" w:rsidRPr="004B5838" w:rsidRDefault="004B5838" w:rsidP="004B5838">
                  <w:pPr>
                    <w:pStyle w:val="Default"/>
                    <w:spacing w:line="360" w:lineRule="auto"/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4B5838">
                    <w:rPr>
                      <w:b/>
                      <w:color w:val="000000" w:themeColor="text1"/>
                      <w:sz w:val="18"/>
                      <w:szCs w:val="18"/>
                    </w:rPr>
                    <w:t>CAS :</w:t>
                  </w:r>
                  <w:proofErr w:type="gramEnd"/>
                  <w:r w:rsidRPr="004B5838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4B5838">
                    <w:rPr>
                      <w:color w:val="000000" w:themeColor="text1"/>
                      <w:sz w:val="18"/>
                      <w:szCs w:val="18"/>
                    </w:rPr>
                    <w:t>280744-09-4</w:t>
                  </w:r>
                </w:p>
                <w:p w:rsidR="004B5838" w:rsidRPr="004B5838" w:rsidRDefault="004B5838" w:rsidP="004B5838">
                  <w:pPr>
                    <w:pStyle w:val="Default"/>
                    <w:spacing w:line="360" w:lineRule="auto"/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</w:pPr>
                  <w:r w:rsidRPr="004B5838">
                    <w:rPr>
                      <w:b/>
                      <w:color w:val="000000" w:themeColor="text1"/>
                      <w:sz w:val="18"/>
                      <w:szCs w:val="18"/>
                    </w:rPr>
                    <w:t>Purity ≥98% by HPLC</w:t>
                  </w:r>
                </w:p>
                <w:p w:rsidR="004B5838" w:rsidRPr="004B5838" w:rsidRDefault="004B5838" w:rsidP="004B5838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4B5838">
                    <w:rPr>
                      <w:rFonts w:ascii="Arial" w:hAnsi="Arial" w:cs="Arial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 xml:space="preserve">Molecular </w:t>
                  </w:r>
                  <w:proofErr w:type="gramStart"/>
                  <w:r w:rsidRPr="004B5838">
                    <w:rPr>
                      <w:rFonts w:ascii="Arial" w:hAnsi="Arial" w:cs="Arial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>formula :</w:t>
                  </w:r>
                  <w:proofErr w:type="gramEnd"/>
                  <w:r w:rsidRPr="004B5838">
                    <w:rPr>
                      <w:rFonts w:ascii="Arial" w:hAnsi="Arial" w:cs="Arial"/>
                      <w:b/>
                      <w:color w:val="000000" w:themeColor="text1"/>
                      <w:kern w:val="0"/>
                      <w:sz w:val="18"/>
                      <w:szCs w:val="18"/>
                    </w:rPr>
                    <w:t xml:space="preserve"> </w:t>
                  </w:r>
                  <w:r w:rsidRPr="004B5838">
                    <w:rPr>
                      <w:rFonts w:ascii="Arial" w:hAnsi="Arial" w:cs="Arial"/>
                      <w:color w:val="000000" w:themeColor="text1"/>
                      <w:kern w:val="0"/>
                      <w:sz w:val="18"/>
                      <w:szCs w:val="18"/>
                    </w:rPr>
                    <w:t>C</w:t>
                  </w:r>
                  <w:r w:rsidRPr="004B5838">
                    <w:rPr>
                      <w:rFonts w:ascii="Arial" w:hAnsi="Arial" w:cs="Arial"/>
                      <w:color w:val="000000" w:themeColor="text1"/>
                      <w:kern w:val="0"/>
                      <w:sz w:val="18"/>
                      <w:szCs w:val="18"/>
                      <w:vertAlign w:val="subscript"/>
                    </w:rPr>
                    <w:t>19</w:t>
                  </w:r>
                  <w:r w:rsidRPr="004B5838">
                    <w:rPr>
                      <w:rFonts w:ascii="Arial" w:hAnsi="Arial" w:cs="Arial"/>
                      <w:color w:val="000000" w:themeColor="text1"/>
                      <w:kern w:val="0"/>
                      <w:sz w:val="18"/>
                      <w:szCs w:val="18"/>
                    </w:rPr>
                    <w:t>H</w:t>
                  </w:r>
                  <w:r w:rsidRPr="004B5838">
                    <w:rPr>
                      <w:rFonts w:ascii="Arial" w:hAnsi="Arial" w:cs="Arial"/>
                      <w:color w:val="000000" w:themeColor="text1"/>
                      <w:kern w:val="0"/>
                      <w:sz w:val="18"/>
                      <w:szCs w:val="18"/>
                      <w:vertAlign w:val="subscript"/>
                    </w:rPr>
                    <w:t>12</w:t>
                  </w:r>
                  <w:r w:rsidRPr="004B5838">
                    <w:rPr>
                      <w:rFonts w:ascii="Arial" w:hAnsi="Arial" w:cs="Arial"/>
                      <w:color w:val="000000" w:themeColor="text1"/>
                      <w:kern w:val="0"/>
                      <w:sz w:val="18"/>
                      <w:szCs w:val="18"/>
                    </w:rPr>
                    <w:t>Cl</w:t>
                  </w:r>
                  <w:r w:rsidRPr="004B5838">
                    <w:rPr>
                      <w:rFonts w:ascii="Arial" w:hAnsi="Arial" w:cs="Arial"/>
                      <w:color w:val="000000" w:themeColor="text1"/>
                      <w:kern w:val="0"/>
                      <w:sz w:val="18"/>
                      <w:szCs w:val="18"/>
                      <w:vertAlign w:val="subscript"/>
                    </w:rPr>
                    <w:t>2</w:t>
                  </w:r>
                  <w:r w:rsidRPr="004B5838">
                    <w:rPr>
                      <w:rFonts w:ascii="Arial" w:hAnsi="Arial" w:cs="Arial"/>
                      <w:color w:val="000000" w:themeColor="text1"/>
                      <w:kern w:val="0"/>
                      <w:sz w:val="18"/>
                      <w:szCs w:val="18"/>
                    </w:rPr>
                    <w:t>N</w:t>
                  </w:r>
                  <w:r w:rsidRPr="004B5838">
                    <w:rPr>
                      <w:rFonts w:ascii="Arial" w:hAnsi="Arial" w:cs="Arial"/>
                      <w:color w:val="000000" w:themeColor="text1"/>
                      <w:kern w:val="0"/>
                      <w:sz w:val="18"/>
                      <w:szCs w:val="18"/>
                      <w:vertAlign w:val="subscript"/>
                    </w:rPr>
                    <w:t>2</w:t>
                  </w:r>
                  <w:r w:rsidRPr="004B5838">
                    <w:rPr>
                      <w:rFonts w:ascii="Arial" w:hAnsi="Arial" w:cs="Arial"/>
                      <w:color w:val="000000" w:themeColor="text1"/>
                      <w:kern w:val="0"/>
                      <w:sz w:val="18"/>
                      <w:szCs w:val="18"/>
                    </w:rPr>
                    <w:t>O</w:t>
                  </w:r>
                  <w:r w:rsidRPr="004B5838">
                    <w:rPr>
                      <w:rFonts w:ascii="Arial" w:hAnsi="Arial" w:cs="Arial"/>
                      <w:color w:val="000000" w:themeColor="text1"/>
                      <w:kern w:val="0"/>
                      <w:sz w:val="18"/>
                      <w:szCs w:val="18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4B5838" w:rsidRDefault="004B5838" w:rsidP="00EF44C4">
      <w:pPr>
        <w:pStyle w:val="Default"/>
        <w:spacing w:line="360" w:lineRule="exact"/>
        <w:rPr>
          <w:rFonts w:hint="eastAsia"/>
          <w:b/>
          <w:bCs/>
          <w:color w:val="000000" w:themeColor="text1"/>
          <w:sz w:val="18"/>
          <w:szCs w:val="18"/>
        </w:rPr>
      </w:pPr>
    </w:p>
    <w:p w:rsidR="004B5838" w:rsidRDefault="004B5838" w:rsidP="00EF44C4">
      <w:pPr>
        <w:pStyle w:val="Default"/>
        <w:spacing w:line="360" w:lineRule="exact"/>
        <w:rPr>
          <w:rFonts w:hint="eastAsia"/>
          <w:b/>
          <w:bCs/>
          <w:color w:val="000000" w:themeColor="text1"/>
          <w:sz w:val="18"/>
          <w:szCs w:val="18"/>
        </w:rPr>
      </w:pPr>
    </w:p>
    <w:p w:rsidR="004B5838" w:rsidRDefault="004B5838" w:rsidP="00EF44C4">
      <w:pPr>
        <w:pStyle w:val="Default"/>
        <w:spacing w:line="360" w:lineRule="exact"/>
        <w:rPr>
          <w:rFonts w:hint="eastAsia"/>
          <w:b/>
          <w:bCs/>
          <w:color w:val="000000" w:themeColor="text1"/>
          <w:sz w:val="18"/>
          <w:szCs w:val="18"/>
        </w:rPr>
      </w:pPr>
    </w:p>
    <w:p w:rsidR="004B5838" w:rsidRDefault="004B5838" w:rsidP="00EF44C4">
      <w:pPr>
        <w:pStyle w:val="Default"/>
        <w:spacing w:line="360" w:lineRule="exact"/>
        <w:rPr>
          <w:rFonts w:hint="eastAsia"/>
          <w:b/>
          <w:bCs/>
          <w:color w:val="000000" w:themeColor="text1"/>
          <w:sz w:val="18"/>
          <w:szCs w:val="18"/>
        </w:rPr>
      </w:pPr>
    </w:p>
    <w:p w:rsidR="004B5838" w:rsidRDefault="004B5838" w:rsidP="00EF44C4">
      <w:pPr>
        <w:pStyle w:val="Default"/>
        <w:spacing w:line="360" w:lineRule="exact"/>
        <w:rPr>
          <w:rFonts w:hint="eastAsia"/>
          <w:b/>
          <w:bCs/>
          <w:color w:val="000000" w:themeColor="text1"/>
          <w:sz w:val="18"/>
          <w:szCs w:val="18"/>
        </w:rPr>
      </w:pPr>
    </w:p>
    <w:p w:rsidR="00404D1E" w:rsidRPr="004B5838" w:rsidRDefault="00B25625" w:rsidP="00EF44C4">
      <w:pPr>
        <w:autoSpaceDE w:val="0"/>
        <w:autoSpaceDN w:val="0"/>
        <w:adjustRightInd w:val="0"/>
        <w:spacing w:line="400" w:lineRule="exact"/>
        <w:rPr>
          <w:rFonts w:ascii="Arial" w:eastAsia="Meiryo" w:hAnsi="Arial" w:cs="Arial"/>
          <w:b/>
          <w:bCs/>
          <w:color w:val="000000" w:themeColor="text1"/>
          <w:szCs w:val="21"/>
          <w:shd w:val="clear" w:color="auto" w:fill="FCFDFD"/>
        </w:rPr>
      </w:pPr>
      <w:r w:rsidRPr="004B5838">
        <w:rPr>
          <w:rFonts w:ascii="Arial" w:eastAsia="Meiryo" w:hAnsi="Arial" w:cs="Arial"/>
          <w:b/>
          <w:bCs/>
          <w:color w:val="000000" w:themeColor="text1"/>
          <w:szCs w:val="21"/>
          <w:shd w:val="clear" w:color="auto" w:fill="FCFDFD"/>
        </w:rPr>
        <w:t>Description</w:t>
      </w:r>
    </w:p>
    <w:p w:rsidR="00D647F2" w:rsidRPr="004B5838" w:rsidRDefault="004B5838" w:rsidP="00D647F2">
      <w:pPr>
        <w:pStyle w:val="aa"/>
        <w:shd w:val="clear" w:color="auto" w:fill="FFFFFF"/>
        <w:spacing w:before="0" w:beforeAutospacing="0" w:after="0" w:afterAutospacing="0" w:line="348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B5838">
        <w:rPr>
          <w:rFonts w:ascii="Arial" w:hAnsi="Arial" w:cs="Arial"/>
          <w:color w:val="000000" w:themeColor="text1"/>
          <w:sz w:val="18"/>
          <w:szCs w:val="18"/>
        </w:rPr>
        <w:t>A cell-permeable (</w:t>
      </w:r>
      <w:proofErr w:type="spellStart"/>
      <w:r w:rsidRPr="004B5838">
        <w:rPr>
          <w:rFonts w:ascii="Arial" w:hAnsi="Arial" w:cs="Arial"/>
          <w:color w:val="000000" w:themeColor="text1"/>
          <w:sz w:val="18"/>
          <w:szCs w:val="18"/>
        </w:rPr>
        <w:t>aryl</w:t>
      </w:r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>indole</w:t>
      </w:r>
      <w:proofErr w:type="spellEnd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 xml:space="preserve">) </w:t>
      </w:r>
      <w:proofErr w:type="spellStart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>maleimide</w:t>
      </w:r>
      <w:proofErr w:type="spellEnd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 xml:space="preserve"> compound that acts as a potent, selective, ATP-competitive inhibitor of GSK-3 activity (</w:t>
      </w:r>
      <w:proofErr w:type="spellStart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>K</w:t>
      </w:r>
      <w:r w:rsidR="00D647F2" w:rsidRPr="004B5838">
        <w:rPr>
          <w:rFonts w:ascii="Arial" w:hAnsi="Arial" w:cs="Arial"/>
          <w:color w:val="000000" w:themeColor="text1"/>
          <w:sz w:val="15"/>
          <w:szCs w:val="15"/>
          <w:vertAlign w:val="subscript"/>
        </w:rPr>
        <w:t>i</w:t>
      </w:r>
      <w:proofErr w:type="spellEnd"/>
      <w:r w:rsidR="00D647F2" w:rsidRPr="004B5838">
        <w:rPr>
          <w:rStyle w:val="apple-converted-space"/>
          <w:rFonts w:ascii="Arial" w:hAnsi="Arial" w:cs="Arial"/>
          <w:color w:val="000000" w:themeColor="text1"/>
        </w:rPr>
        <w:t> </w:t>
      </w:r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 xml:space="preserve">= 9.1 </w:t>
      </w:r>
      <w:proofErr w:type="spellStart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>nM</w:t>
      </w:r>
      <w:proofErr w:type="spellEnd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 xml:space="preserve"> for GSK-3α). At 10 µM concentration, does not significantly inhibit a panel of 24 other protein </w:t>
      </w:r>
      <w:proofErr w:type="spellStart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>kinases</w:t>
      </w:r>
      <w:proofErr w:type="spellEnd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 xml:space="preserve"> tested. Reported to stimulate glycogen synthesis in Chang human liver cells (EC</w:t>
      </w:r>
      <w:r w:rsidR="00D647F2" w:rsidRPr="004B5838">
        <w:rPr>
          <w:rFonts w:ascii="Arial" w:hAnsi="Arial" w:cs="Arial"/>
          <w:color w:val="000000" w:themeColor="text1"/>
          <w:sz w:val="15"/>
          <w:szCs w:val="15"/>
          <w:vertAlign w:val="subscript"/>
        </w:rPr>
        <w:t>50</w:t>
      </w:r>
      <w:r w:rsidR="00D647F2" w:rsidRPr="004B5838">
        <w:rPr>
          <w:rStyle w:val="apple-converted-space"/>
          <w:rFonts w:ascii="Arial" w:hAnsi="Arial" w:cs="Arial"/>
          <w:color w:val="000000" w:themeColor="text1"/>
        </w:rPr>
        <w:t> </w:t>
      </w:r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>= 3.6 µM) and induce transcription of β-</w:t>
      </w:r>
      <w:proofErr w:type="spellStart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>catenin</w:t>
      </w:r>
      <w:proofErr w:type="spellEnd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 xml:space="preserve">-LEF/TCF (lymphoid enhancer factor/T cell factor) regulated reporter gene in HEK293 human embryonic kidney cell lines. Offers protection against </w:t>
      </w:r>
      <w:proofErr w:type="spellStart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>polyglutamine</w:t>
      </w:r>
      <w:proofErr w:type="spellEnd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 xml:space="preserve">-induced death in SK-N-SH and COS-7 cells and attenuates hypoxia-induced apoptosis in VSMC and COS-7 cells. </w:t>
      </w:r>
      <w:proofErr w:type="gramStart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 xml:space="preserve">Shown to reduce </w:t>
      </w:r>
      <w:proofErr w:type="spellStart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>phosphoenolpyruvate</w:t>
      </w:r>
      <w:proofErr w:type="spellEnd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>carboxykinase</w:t>
      </w:r>
      <w:proofErr w:type="spellEnd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 xml:space="preserve"> (PEPCK) and glucose-6-phosphatase (G6Pase) expression in </w:t>
      </w:r>
      <w:proofErr w:type="spellStart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>hepatoma</w:t>
      </w:r>
      <w:proofErr w:type="spellEnd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 xml:space="preserve"> cells.</w:t>
      </w:r>
      <w:proofErr w:type="gramEnd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 xml:space="preserve">Promotes the survival of CLL lymphocytes via </w:t>
      </w:r>
      <w:proofErr w:type="spellStart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>Wnt</w:t>
      </w:r>
      <w:proofErr w:type="spellEnd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>/β-</w:t>
      </w:r>
      <w:proofErr w:type="spellStart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>catenin</w:t>
      </w:r>
      <w:proofErr w:type="spellEnd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>-mediated transcription activation.</w:t>
      </w:r>
      <w:proofErr w:type="gramEnd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 xml:space="preserve"> Exhibits delayed </w:t>
      </w:r>
      <w:proofErr w:type="spellStart"/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>cardioprotection</w:t>
      </w:r>
      <w:proofErr w:type="spellEnd"/>
      <w:r w:rsidR="00D647F2" w:rsidRPr="004B5838">
        <w:rPr>
          <w:rStyle w:val="apple-converted-space"/>
          <w:rFonts w:ascii="Arial" w:hAnsi="Arial" w:cs="Arial"/>
          <w:color w:val="000000" w:themeColor="text1"/>
        </w:rPr>
        <w:t> </w:t>
      </w:r>
      <w:r w:rsidR="00D647F2" w:rsidRPr="004B5838">
        <w:rPr>
          <w:rFonts w:ascii="Arial" w:hAnsi="Arial" w:cs="Arial"/>
          <w:i/>
          <w:iCs/>
          <w:color w:val="000000" w:themeColor="text1"/>
          <w:sz w:val="18"/>
          <w:szCs w:val="18"/>
        </w:rPr>
        <w:t>in vivo</w:t>
      </w:r>
      <w:r w:rsidR="00D647F2" w:rsidRPr="004B5838">
        <w:rPr>
          <w:rStyle w:val="apple-converted-space"/>
          <w:rFonts w:ascii="Arial" w:hAnsi="Arial" w:cs="Arial"/>
          <w:color w:val="000000" w:themeColor="text1"/>
        </w:rPr>
        <w:t> </w:t>
      </w:r>
      <w:r w:rsidR="00D647F2" w:rsidRPr="004B5838">
        <w:rPr>
          <w:rFonts w:ascii="Arial" w:hAnsi="Arial" w:cs="Arial"/>
          <w:color w:val="000000" w:themeColor="text1"/>
          <w:sz w:val="18"/>
          <w:szCs w:val="18"/>
        </w:rPr>
        <w:t>in a rat model via a KATP (ATP-sensitive potassium channels) and MPTP (mitochondrial permeability transition pore)-dependent mechanism at reperfusion.</w:t>
      </w:r>
    </w:p>
    <w:p w:rsidR="00D647F2" w:rsidRDefault="00D647F2" w:rsidP="00D647F2">
      <w:pPr>
        <w:pStyle w:val="aa"/>
        <w:shd w:val="clear" w:color="auto" w:fill="FFFFFF"/>
        <w:spacing w:before="0" w:beforeAutospacing="0" w:after="0" w:afterAutospacing="0" w:line="348" w:lineRule="atLeast"/>
        <w:jc w:val="both"/>
        <w:rPr>
          <w:rFonts w:ascii="Arial" w:hAnsi="Arial" w:cs="Arial" w:hint="eastAsia"/>
          <w:color w:val="000000" w:themeColor="text1"/>
          <w:sz w:val="18"/>
          <w:szCs w:val="18"/>
        </w:rPr>
      </w:pPr>
      <w:r w:rsidRPr="004B5838">
        <w:rPr>
          <w:rFonts w:ascii="Arial" w:hAnsi="Arial" w:cs="Arial"/>
          <w:color w:val="000000" w:themeColor="text1"/>
          <w:sz w:val="18"/>
          <w:szCs w:val="18"/>
        </w:rPr>
        <w:t>A cell-permeable (</w:t>
      </w:r>
      <w:proofErr w:type="spellStart"/>
      <w:r w:rsidRPr="004B5838">
        <w:rPr>
          <w:rFonts w:ascii="Arial" w:hAnsi="Arial" w:cs="Arial"/>
          <w:color w:val="000000" w:themeColor="text1"/>
          <w:sz w:val="18"/>
          <w:szCs w:val="18"/>
        </w:rPr>
        <w:t>aryl</w:t>
      </w:r>
      <w:proofErr w:type="gramStart"/>
      <w:r w:rsidRPr="004B5838">
        <w:rPr>
          <w:rFonts w:ascii="Arial" w:hAnsi="Arial" w:cs="Arial"/>
          <w:color w:val="000000" w:themeColor="text1"/>
          <w:sz w:val="18"/>
          <w:szCs w:val="18"/>
        </w:rPr>
        <w:t>,indole</w:t>
      </w:r>
      <w:proofErr w:type="spellEnd"/>
      <w:proofErr w:type="gramEnd"/>
      <w:r w:rsidRPr="004B5838">
        <w:rPr>
          <w:rFonts w:ascii="Arial" w:hAnsi="Arial" w:cs="Arial"/>
          <w:color w:val="000000" w:themeColor="text1"/>
          <w:sz w:val="18"/>
          <w:szCs w:val="18"/>
        </w:rPr>
        <w:t xml:space="preserve">) </w:t>
      </w:r>
      <w:proofErr w:type="spellStart"/>
      <w:r w:rsidRPr="004B5838">
        <w:rPr>
          <w:rFonts w:ascii="Arial" w:hAnsi="Arial" w:cs="Arial"/>
          <w:color w:val="000000" w:themeColor="text1"/>
          <w:sz w:val="18"/>
          <w:szCs w:val="18"/>
        </w:rPr>
        <w:t>maleimide</w:t>
      </w:r>
      <w:proofErr w:type="spellEnd"/>
      <w:r w:rsidRPr="004B5838">
        <w:rPr>
          <w:rFonts w:ascii="Arial" w:hAnsi="Arial" w:cs="Arial"/>
          <w:color w:val="000000" w:themeColor="text1"/>
          <w:sz w:val="18"/>
          <w:szCs w:val="18"/>
        </w:rPr>
        <w:t xml:space="preserve"> compound that acts as a potent, selective, ATP-competitive inhibitor of GSK-3 activity (</w:t>
      </w:r>
      <w:proofErr w:type="spellStart"/>
      <w:r w:rsidRPr="004B5838">
        <w:rPr>
          <w:rFonts w:ascii="Arial" w:hAnsi="Arial" w:cs="Arial"/>
          <w:color w:val="000000" w:themeColor="text1"/>
          <w:sz w:val="18"/>
          <w:szCs w:val="18"/>
        </w:rPr>
        <w:t>K</w:t>
      </w:r>
      <w:r w:rsidRPr="004B5838">
        <w:rPr>
          <w:rFonts w:ascii="Arial" w:hAnsi="Arial" w:cs="Arial"/>
          <w:color w:val="000000" w:themeColor="text1"/>
          <w:sz w:val="15"/>
          <w:szCs w:val="15"/>
          <w:vertAlign w:val="subscript"/>
        </w:rPr>
        <w:t>i</w:t>
      </w:r>
      <w:proofErr w:type="spellEnd"/>
      <w:r w:rsidRPr="004B5838">
        <w:rPr>
          <w:rStyle w:val="apple-converted-space"/>
          <w:rFonts w:ascii="Arial" w:hAnsi="Arial" w:cs="Arial"/>
          <w:color w:val="000000" w:themeColor="text1"/>
        </w:rPr>
        <w:t> </w:t>
      </w:r>
      <w:r w:rsidRPr="004B5838">
        <w:rPr>
          <w:rFonts w:ascii="Arial" w:hAnsi="Arial" w:cs="Arial"/>
          <w:color w:val="000000" w:themeColor="text1"/>
          <w:sz w:val="18"/>
          <w:szCs w:val="18"/>
        </w:rPr>
        <w:t xml:space="preserve">= 9.1 </w:t>
      </w:r>
      <w:proofErr w:type="spellStart"/>
      <w:r w:rsidRPr="004B5838">
        <w:rPr>
          <w:rFonts w:ascii="Arial" w:hAnsi="Arial" w:cs="Arial"/>
          <w:color w:val="000000" w:themeColor="text1"/>
          <w:sz w:val="18"/>
          <w:szCs w:val="18"/>
        </w:rPr>
        <w:t>nM</w:t>
      </w:r>
      <w:proofErr w:type="spellEnd"/>
      <w:r w:rsidRPr="004B5838">
        <w:rPr>
          <w:rFonts w:ascii="Arial" w:hAnsi="Arial" w:cs="Arial"/>
          <w:color w:val="000000" w:themeColor="text1"/>
          <w:sz w:val="18"/>
          <w:szCs w:val="18"/>
        </w:rPr>
        <w:t xml:space="preserve"> for GSK-3α). At 10 µM concentration, does not significantly inhibit a panel of 24 other protein </w:t>
      </w:r>
      <w:proofErr w:type="spellStart"/>
      <w:r w:rsidRPr="004B5838">
        <w:rPr>
          <w:rFonts w:ascii="Arial" w:hAnsi="Arial" w:cs="Arial"/>
          <w:color w:val="000000" w:themeColor="text1"/>
          <w:sz w:val="18"/>
          <w:szCs w:val="18"/>
        </w:rPr>
        <w:t>kinases</w:t>
      </w:r>
      <w:proofErr w:type="spellEnd"/>
      <w:r w:rsidRPr="004B5838">
        <w:rPr>
          <w:rFonts w:ascii="Arial" w:hAnsi="Arial" w:cs="Arial"/>
          <w:color w:val="000000" w:themeColor="text1"/>
          <w:sz w:val="18"/>
          <w:szCs w:val="18"/>
        </w:rPr>
        <w:t xml:space="preserve"> tested. Reported to stimulate glycogen synthesis in Chang human liver cells (EC</w:t>
      </w:r>
      <w:r w:rsidRPr="004B5838">
        <w:rPr>
          <w:rFonts w:ascii="Arial" w:hAnsi="Arial" w:cs="Arial"/>
          <w:color w:val="000000" w:themeColor="text1"/>
          <w:sz w:val="15"/>
          <w:szCs w:val="15"/>
          <w:vertAlign w:val="subscript"/>
        </w:rPr>
        <w:t>50</w:t>
      </w:r>
      <w:r w:rsidRPr="004B5838">
        <w:rPr>
          <w:rStyle w:val="apple-converted-space"/>
          <w:rFonts w:ascii="Arial" w:hAnsi="Arial" w:cs="Arial"/>
          <w:color w:val="000000" w:themeColor="text1"/>
        </w:rPr>
        <w:t> </w:t>
      </w:r>
      <w:r w:rsidRPr="004B5838">
        <w:rPr>
          <w:rFonts w:ascii="Arial" w:hAnsi="Arial" w:cs="Arial"/>
          <w:color w:val="000000" w:themeColor="text1"/>
          <w:sz w:val="18"/>
          <w:szCs w:val="18"/>
        </w:rPr>
        <w:t>= 3.6 µM) and induce transcription of β-</w:t>
      </w:r>
      <w:proofErr w:type="spellStart"/>
      <w:r w:rsidRPr="004B5838">
        <w:rPr>
          <w:rFonts w:ascii="Arial" w:hAnsi="Arial" w:cs="Arial"/>
          <w:color w:val="000000" w:themeColor="text1"/>
          <w:sz w:val="18"/>
          <w:szCs w:val="18"/>
        </w:rPr>
        <w:t>catenin</w:t>
      </w:r>
      <w:proofErr w:type="spellEnd"/>
      <w:r w:rsidRPr="004B5838">
        <w:rPr>
          <w:rFonts w:ascii="Arial" w:hAnsi="Arial" w:cs="Arial"/>
          <w:color w:val="000000" w:themeColor="text1"/>
          <w:sz w:val="18"/>
          <w:szCs w:val="18"/>
        </w:rPr>
        <w:t xml:space="preserve">-LEF/TCF (lymphoid enhancer factor/T cell factor) regulated reporter gene in HEK293 human embryonic kidney cell lines. Offers protection against </w:t>
      </w:r>
      <w:proofErr w:type="spellStart"/>
      <w:r w:rsidRPr="004B5838">
        <w:rPr>
          <w:rFonts w:ascii="Arial" w:hAnsi="Arial" w:cs="Arial"/>
          <w:color w:val="000000" w:themeColor="text1"/>
          <w:sz w:val="18"/>
          <w:szCs w:val="18"/>
        </w:rPr>
        <w:t>polyglutamine</w:t>
      </w:r>
      <w:proofErr w:type="spellEnd"/>
      <w:r w:rsidRPr="004B5838">
        <w:rPr>
          <w:rFonts w:ascii="Arial" w:hAnsi="Arial" w:cs="Arial"/>
          <w:color w:val="000000" w:themeColor="text1"/>
          <w:sz w:val="18"/>
          <w:szCs w:val="18"/>
        </w:rPr>
        <w:t xml:space="preserve">-induced death in SK-N-SH and COS-7 cells and attenuates hypoxia-induced apoptosis in VSMC and COS-7 cells. </w:t>
      </w:r>
      <w:proofErr w:type="gramStart"/>
      <w:r w:rsidRPr="004B5838">
        <w:rPr>
          <w:rFonts w:ascii="Arial" w:hAnsi="Arial" w:cs="Arial"/>
          <w:color w:val="000000" w:themeColor="text1"/>
          <w:sz w:val="18"/>
          <w:szCs w:val="18"/>
        </w:rPr>
        <w:t xml:space="preserve">Shown to reduce </w:t>
      </w:r>
      <w:proofErr w:type="spellStart"/>
      <w:r w:rsidRPr="004B5838">
        <w:rPr>
          <w:rFonts w:ascii="Arial" w:hAnsi="Arial" w:cs="Arial"/>
          <w:color w:val="000000" w:themeColor="text1"/>
          <w:sz w:val="18"/>
          <w:szCs w:val="18"/>
        </w:rPr>
        <w:t>phosphoenolpyruvate</w:t>
      </w:r>
      <w:proofErr w:type="spellEnd"/>
      <w:r w:rsidRPr="004B583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4B5838">
        <w:rPr>
          <w:rFonts w:ascii="Arial" w:hAnsi="Arial" w:cs="Arial"/>
          <w:color w:val="000000" w:themeColor="text1"/>
          <w:sz w:val="18"/>
          <w:szCs w:val="18"/>
        </w:rPr>
        <w:t>carboxykinase</w:t>
      </w:r>
      <w:proofErr w:type="spellEnd"/>
      <w:r w:rsidRPr="004B5838">
        <w:rPr>
          <w:rFonts w:ascii="Arial" w:hAnsi="Arial" w:cs="Arial"/>
          <w:color w:val="000000" w:themeColor="text1"/>
          <w:sz w:val="18"/>
          <w:szCs w:val="18"/>
        </w:rPr>
        <w:t xml:space="preserve"> (PEPCK) and glucose-6-phosphatase (G6Pase) expression in </w:t>
      </w:r>
      <w:proofErr w:type="spellStart"/>
      <w:r w:rsidRPr="004B5838">
        <w:rPr>
          <w:rFonts w:ascii="Arial" w:hAnsi="Arial" w:cs="Arial"/>
          <w:color w:val="000000" w:themeColor="text1"/>
          <w:sz w:val="18"/>
          <w:szCs w:val="18"/>
        </w:rPr>
        <w:t>hepatoma</w:t>
      </w:r>
      <w:proofErr w:type="spellEnd"/>
      <w:r w:rsidRPr="004B5838">
        <w:rPr>
          <w:rFonts w:ascii="Arial" w:hAnsi="Arial" w:cs="Arial"/>
          <w:color w:val="000000" w:themeColor="text1"/>
          <w:sz w:val="18"/>
          <w:szCs w:val="18"/>
        </w:rPr>
        <w:t xml:space="preserve"> cells.</w:t>
      </w:r>
      <w:proofErr w:type="gramEnd"/>
      <w:r w:rsidRPr="004B583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Pr="004B5838">
        <w:rPr>
          <w:rFonts w:ascii="Arial" w:hAnsi="Arial" w:cs="Arial"/>
          <w:color w:val="000000" w:themeColor="text1"/>
          <w:sz w:val="18"/>
          <w:szCs w:val="18"/>
        </w:rPr>
        <w:t xml:space="preserve">Promotes the survival of CLL lymphocytes via </w:t>
      </w:r>
      <w:proofErr w:type="spellStart"/>
      <w:r w:rsidRPr="004B5838">
        <w:rPr>
          <w:rFonts w:ascii="Arial" w:hAnsi="Arial" w:cs="Arial"/>
          <w:color w:val="000000" w:themeColor="text1"/>
          <w:sz w:val="18"/>
          <w:szCs w:val="18"/>
        </w:rPr>
        <w:t>Wnt</w:t>
      </w:r>
      <w:proofErr w:type="spellEnd"/>
      <w:r w:rsidRPr="004B5838">
        <w:rPr>
          <w:rFonts w:ascii="Arial" w:hAnsi="Arial" w:cs="Arial"/>
          <w:color w:val="000000" w:themeColor="text1"/>
          <w:sz w:val="18"/>
          <w:szCs w:val="18"/>
        </w:rPr>
        <w:t>/β-</w:t>
      </w:r>
      <w:proofErr w:type="spellStart"/>
      <w:r w:rsidRPr="004B5838">
        <w:rPr>
          <w:rFonts w:ascii="Arial" w:hAnsi="Arial" w:cs="Arial"/>
          <w:color w:val="000000" w:themeColor="text1"/>
          <w:sz w:val="18"/>
          <w:szCs w:val="18"/>
        </w:rPr>
        <w:t>catenin</w:t>
      </w:r>
      <w:proofErr w:type="spellEnd"/>
      <w:r w:rsidRPr="004B5838">
        <w:rPr>
          <w:rFonts w:ascii="Arial" w:hAnsi="Arial" w:cs="Arial"/>
          <w:color w:val="000000" w:themeColor="text1"/>
          <w:sz w:val="18"/>
          <w:szCs w:val="18"/>
        </w:rPr>
        <w:t>-mediated transcription activation.</w:t>
      </w:r>
      <w:proofErr w:type="gramEnd"/>
      <w:r w:rsidRPr="004B5838">
        <w:rPr>
          <w:rFonts w:ascii="Arial" w:hAnsi="Arial" w:cs="Arial"/>
          <w:color w:val="000000" w:themeColor="text1"/>
          <w:sz w:val="18"/>
          <w:szCs w:val="18"/>
        </w:rPr>
        <w:t xml:space="preserve"> Exhibits delayed </w:t>
      </w:r>
      <w:proofErr w:type="spellStart"/>
      <w:r w:rsidRPr="004B5838">
        <w:rPr>
          <w:rFonts w:ascii="Arial" w:hAnsi="Arial" w:cs="Arial"/>
          <w:color w:val="000000" w:themeColor="text1"/>
          <w:sz w:val="18"/>
          <w:szCs w:val="18"/>
        </w:rPr>
        <w:t>cardioprotection</w:t>
      </w:r>
      <w:proofErr w:type="spellEnd"/>
      <w:r w:rsidRPr="004B5838">
        <w:rPr>
          <w:rStyle w:val="apple-converted-space"/>
          <w:rFonts w:ascii="Arial" w:hAnsi="Arial" w:cs="Arial"/>
          <w:color w:val="000000" w:themeColor="text1"/>
        </w:rPr>
        <w:t> </w:t>
      </w:r>
      <w:r w:rsidRPr="004B5838">
        <w:rPr>
          <w:rFonts w:ascii="Arial" w:hAnsi="Arial" w:cs="Arial"/>
          <w:i/>
          <w:iCs/>
          <w:color w:val="000000" w:themeColor="text1"/>
          <w:sz w:val="18"/>
          <w:szCs w:val="18"/>
        </w:rPr>
        <w:t>in vivo</w:t>
      </w:r>
      <w:r w:rsidRPr="004B5838">
        <w:rPr>
          <w:rStyle w:val="apple-converted-space"/>
          <w:rFonts w:ascii="Arial" w:hAnsi="Arial" w:cs="Arial"/>
          <w:color w:val="000000" w:themeColor="text1"/>
        </w:rPr>
        <w:t> </w:t>
      </w:r>
      <w:r w:rsidRPr="004B5838">
        <w:rPr>
          <w:rFonts w:ascii="Arial" w:hAnsi="Arial" w:cs="Arial"/>
          <w:color w:val="000000" w:themeColor="text1"/>
          <w:sz w:val="18"/>
          <w:szCs w:val="18"/>
        </w:rPr>
        <w:t>in a rat model via a KATP (ATP-sensitive potassium channels) and MPTP (mitochondrial permeability transition pore)-dependent mechanism at reperfusion.</w:t>
      </w:r>
    </w:p>
    <w:p w:rsidR="0063402B" w:rsidRPr="004B5838" w:rsidRDefault="0063402B" w:rsidP="00D647F2">
      <w:pPr>
        <w:pStyle w:val="aa"/>
        <w:shd w:val="clear" w:color="auto" w:fill="FFFFFF"/>
        <w:spacing w:before="0" w:beforeAutospacing="0" w:after="0" w:afterAutospacing="0" w:line="348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4B5838" w:rsidRPr="004B5838" w:rsidRDefault="00D647F2" w:rsidP="00D647F2">
      <w:pPr>
        <w:autoSpaceDE w:val="0"/>
        <w:autoSpaceDN w:val="0"/>
        <w:adjustRightInd w:val="0"/>
        <w:spacing w:line="360" w:lineRule="exact"/>
        <w:rPr>
          <w:rFonts w:ascii="Arial" w:hAnsi="Arial" w:cs="Arial" w:hint="eastAsia"/>
          <w:b/>
          <w:color w:val="000000" w:themeColor="text1"/>
          <w:kern w:val="0"/>
          <w:szCs w:val="21"/>
        </w:rPr>
      </w:pPr>
      <w:r w:rsidRPr="004B5838">
        <w:rPr>
          <w:rFonts w:ascii="Arial" w:hAnsi="Arial" w:cs="Arial"/>
          <w:b/>
          <w:color w:val="000000" w:themeColor="text1"/>
          <w:kern w:val="0"/>
          <w:szCs w:val="21"/>
        </w:rPr>
        <w:t>Solvent &amp; Solubility</w:t>
      </w:r>
    </w:p>
    <w:p w:rsidR="00D647F2" w:rsidRDefault="00D647F2" w:rsidP="00D647F2">
      <w:pPr>
        <w:autoSpaceDE w:val="0"/>
        <w:autoSpaceDN w:val="0"/>
        <w:adjustRightInd w:val="0"/>
        <w:spacing w:line="360" w:lineRule="exact"/>
        <w:rPr>
          <w:rFonts w:ascii="Arial" w:eastAsia="宋体" w:hAnsi="Arial" w:cs="Arial" w:hint="eastAsia"/>
          <w:color w:val="000000" w:themeColor="text1"/>
          <w:kern w:val="0"/>
          <w:sz w:val="18"/>
          <w:szCs w:val="18"/>
        </w:rPr>
      </w:pPr>
      <w:r w:rsidRPr="004B5838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DMSO ≥25mg/</w:t>
      </w:r>
      <w:proofErr w:type="spellStart"/>
      <w:r w:rsidRPr="004B5838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mL</w:t>
      </w:r>
      <w:proofErr w:type="spellEnd"/>
      <w:r w:rsidRPr="004B5838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 xml:space="preserve"> </w:t>
      </w:r>
      <w:r w:rsidR="004B5838">
        <w:rPr>
          <w:rFonts w:ascii="Arial" w:eastAsia="宋体" w:hAnsi="Arial" w:cs="Arial" w:hint="eastAsia"/>
          <w:color w:val="000000" w:themeColor="text1"/>
          <w:kern w:val="0"/>
          <w:sz w:val="18"/>
          <w:szCs w:val="18"/>
        </w:rPr>
        <w:t xml:space="preserve">  </w:t>
      </w:r>
      <w:r w:rsidRPr="004B5838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Water &lt;1.2mg/</w:t>
      </w:r>
      <w:proofErr w:type="spellStart"/>
      <w:r w:rsidRPr="004B5838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mL</w:t>
      </w:r>
      <w:proofErr w:type="spellEnd"/>
      <w:r w:rsidRPr="004B5838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 xml:space="preserve"> </w:t>
      </w:r>
      <w:r w:rsidR="004B5838">
        <w:rPr>
          <w:rFonts w:ascii="Arial" w:eastAsia="宋体" w:hAnsi="Arial" w:cs="Arial" w:hint="eastAsia"/>
          <w:color w:val="000000" w:themeColor="text1"/>
          <w:kern w:val="0"/>
          <w:sz w:val="18"/>
          <w:szCs w:val="18"/>
        </w:rPr>
        <w:t xml:space="preserve">  </w:t>
      </w:r>
      <w:r w:rsidRPr="004B5838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Ethanol &lt;1.2mg/</w:t>
      </w:r>
      <w:proofErr w:type="spellStart"/>
      <w:r w:rsidRPr="004B5838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mL</w:t>
      </w:r>
      <w:proofErr w:type="spellEnd"/>
    </w:p>
    <w:p w:rsidR="0063402B" w:rsidRPr="004B5838" w:rsidRDefault="0063402B" w:rsidP="00D647F2">
      <w:pPr>
        <w:autoSpaceDE w:val="0"/>
        <w:autoSpaceDN w:val="0"/>
        <w:adjustRightInd w:val="0"/>
        <w:spacing w:line="360" w:lineRule="exact"/>
        <w:rPr>
          <w:rFonts w:ascii="Arial" w:eastAsia="宋体" w:hAnsi="Arial" w:cs="Arial"/>
          <w:color w:val="000000" w:themeColor="text1"/>
          <w:kern w:val="0"/>
          <w:sz w:val="18"/>
          <w:szCs w:val="18"/>
        </w:rPr>
      </w:pPr>
    </w:p>
    <w:p w:rsidR="00DF102E" w:rsidRPr="004B5838" w:rsidRDefault="00DF102E" w:rsidP="00EF44C4">
      <w:pPr>
        <w:autoSpaceDE w:val="0"/>
        <w:autoSpaceDN w:val="0"/>
        <w:adjustRightInd w:val="0"/>
        <w:spacing w:line="400" w:lineRule="exact"/>
        <w:rPr>
          <w:rFonts w:ascii="Arial" w:eastAsia="Meiryo" w:hAnsi="Arial" w:cs="Arial"/>
          <w:b/>
          <w:bCs/>
          <w:color w:val="000000" w:themeColor="text1"/>
          <w:szCs w:val="21"/>
          <w:shd w:val="clear" w:color="auto" w:fill="FCFDFD"/>
        </w:rPr>
      </w:pPr>
      <w:r w:rsidRPr="004B5838">
        <w:rPr>
          <w:rFonts w:ascii="Arial" w:eastAsia="Meiryo" w:hAnsi="Arial" w:cs="Arial"/>
          <w:b/>
          <w:bCs/>
          <w:color w:val="000000" w:themeColor="text1"/>
          <w:szCs w:val="21"/>
          <w:shd w:val="clear" w:color="auto" w:fill="FCFDFD"/>
        </w:rPr>
        <w:t>Storage</w:t>
      </w:r>
      <w:r w:rsidR="00EF44C4" w:rsidRPr="004B5838">
        <w:rPr>
          <w:rFonts w:ascii="Arial" w:eastAsia="Meiryo" w:hAnsi="Arial" w:cs="Arial"/>
          <w:b/>
          <w:bCs/>
          <w:color w:val="000000" w:themeColor="text1"/>
          <w:szCs w:val="21"/>
          <w:shd w:val="clear" w:color="auto" w:fill="FCFDFD"/>
        </w:rPr>
        <w:t xml:space="preserve"> condition</w:t>
      </w:r>
    </w:p>
    <w:p w:rsidR="00036E40" w:rsidRPr="004B5838" w:rsidRDefault="00D647F2" w:rsidP="004B5838">
      <w:pPr>
        <w:autoSpaceDE w:val="0"/>
        <w:autoSpaceDN w:val="0"/>
        <w:adjustRightInd w:val="0"/>
        <w:spacing w:line="360" w:lineRule="exact"/>
        <w:rPr>
          <w:rFonts w:ascii="Arial" w:eastAsia="宋体" w:hAnsi="Arial" w:cs="Arial"/>
          <w:color w:val="000000" w:themeColor="text1"/>
          <w:kern w:val="0"/>
          <w:sz w:val="18"/>
          <w:szCs w:val="18"/>
        </w:rPr>
      </w:pPr>
      <w:r w:rsidRPr="004B5838">
        <w:rPr>
          <w:rFonts w:ascii="Arial" w:eastAsia="宋体" w:hAnsi="Arial" w:cs="Arial"/>
          <w:color w:val="000000" w:themeColor="text1"/>
          <w:kern w:val="0"/>
          <w:sz w:val="18"/>
          <w:szCs w:val="18"/>
        </w:rPr>
        <w:t>-20°C</w:t>
      </w:r>
    </w:p>
    <w:p w:rsidR="0041783B" w:rsidRPr="004B5838" w:rsidRDefault="0041783B" w:rsidP="0041783B">
      <w:pPr>
        <w:pStyle w:val="Default"/>
        <w:spacing w:line="320" w:lineRule="exact"/>
        <w:jc w:val="center"/>
        <w:rPr>
          <w:b/>
          <w:bCs/>
          <w:color w:val="000000" w:themeColor="text1"/>
          <w:sz w:val="21"/>
          <w:szCs w:val="21"/>
        </w:rPr>
      </w:pPr>
      <w:proofErr w:type="gramStart"/>
      <w:r w:rsidRPr="004B5838">
        <w:rPr>
          <w:b/>
          <w:color w:val="000000" w:themeColor="text1"/>
          <w:sz w:val="21"/>
          <w:szCs w:val="21"/>
          <w:shd w:val="clear" w:color="auto" w:fill="FFFFFF"/>
        </w:rPr>
        <w:t>For Research Use Only.</w:t>
      </w:r>
      <w:proofErr w:type="gramEnd"/>
      <w:r w:rsidRPr="004B5838">
        <w:rPr>
          <w:b/>
          <w:color w:val="000000" w:themeColor="text1"/>
          <w:sz w:val="21"/>
          <w:szCs w:val="21"/>
          <w:shd w:val="clear" w:color="auto" w:fill="FFFFFF"/>
        </w:rPr>
        <w:t xml:space="preserve"> Not For Use </w:t>
      </w:r>
      <w:proofErr w:type="gramStart"/>
      <w:r w:rsidRPr="004B5838">
        <w:rPr>
          <w:b/>
          <w:color w:val="000000" w:themeColor="text1"/>
          <w:sz w:val="21"/>
          <w:szCs w:val="21"/>
          <w:shd w:val="clear" w:color="auto" w:fill="FFFFFF"/>
        </w:rPr>
        <w:t>In</w:t>
      </w:r>
      <w:proofErr w:type="gramEnd"/>
      <w:r w:rsidRPr="004B5838">
        <w:rPr>
          <w:b/>
          <w:color w:val="000000" w:themeColor="text1"/>
          <w:sz w:val="21"/>
          <w:szCs w:val="21"/>
          <w:shd w:val="clear" w:color="auto" w:fill="FFFFFF"/>
        </w:rPr>
        <w:t xml:space="preserve"> Diagnostic Procedures.</w:t>
      </w:r>
    </w:p>
    <w:sectPr w:rsidR="0041783B" w:rsidRPr="004B5838" w:rsidSect="00036E40">
      <w:footerReference w:type="default" r:id="rId10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05" w:rsidRDefault="00832805" w:rsidP="0065435B">
      <w:r>
        <w:separator/>
      </w:r>
    </w:p>
  </w:endnote>
  <w:endnote w:type="continuationSeparator" w:id="0">
    <w:p w:rsidR="00832805" w:rsidRDefault="00832805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6F" w:rsidRPr="009C516F" w:rsidRDefault="009C516F">
    <w:pPr>
      <w:pStyle w:val="a4"/>
      <w:jc w:val="right"/>
    </w:pPr>
  </w:p>
  <w:p w:rsidR="00036E40" w:rsidRPr="00036E40" w:rsidRDefault="009C516F" w:rsidP="009C516F">
    <w:pPr>
      <w:pStyle w:val="a4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:rsidR="00F944FB" w:rsidRPr="009C516F" w:rsidRDefault="00036E40" w:rsidP="00036E40">
    <w:pPr>
      <w:pStyle w:val="a4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05" w:rsidRDefault="00832805" w:rsidP="0065435B">
      <w:r>
        <w:separator/>
      </w:r>
    </w:p>
  </w:footnote>
  <w:footnote w:type="continuationSeparator" w:id="0">
    <w:p w:rsidR="00832805" w:rsidRDefault="00832805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32E"/>
    <w:multiLevelType w:val="hybridMultilevel"/>
    <w:tmpl w:val="0C10304E"/>
    <w:lvl w:ilvl="0" w:tplc="EBF257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1F16270"/>
    <w:multiLevelType w:val="hybridMultilevel"/>
    <w:tmpl w:val="9EB4F1C6"/>
    <w:lvl w:ilvl="0" w:tplc="E2683320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254CD"/>
    <w:rsid w:val="00036E40"/>
    <w:rsid w:val="00071EFE"/>
    <w:rsid w:val="0009712E"/>
    <w:rsid w:val="000A4EB5"/>
    <w:rsid w:val="000A61A3"/>
    <w:rsid w:val="000B7599"/>
    <w:rsid w:val="000E4C23"/>
    <w:rsid w:val="000E4FDB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2611E4"/>
    <w:rsid w:val="0028529B"/>
    <w:rsid w:val="002B464F"/>
    <w:rsid w:val="002D0290"/>
    <w:rsid w:val="002D5E46"/>
    <w:rsid w:val="00311F60"/>
    <w:rsid w:val="00371A2F"/>
    <w:rsid w:val="0038799B"/>
    <w:rsid w:val="003A58DA"/>
    <w:rsid w:val="00404D1E"/>
    <w:rsid w:val="004169FA"/>
    <w:rsid w:val="0041783B"/>
    <w:rsid w:val="00474083"/>
    <w:rsid w:val="00475678"/>
    <w:rsid w:val="0049205D"/>
    <w:rsid w:val="004A1338"/>
    <w:rsid w:val="004B5838"/>
    <w:rsid w:val="004D158E"/>
    <w:rsid w:val="00523F89"/>
    <w:rsid w:val="00552AD6"/>
    <w:rsid w:val="00565CE3"/>
    <w:rsid w:val="00571FEB"/>
    <w:rsid w:val="005C746D"/>
    <w:rsid w:val="005D4CF8"/>
    <w:rsid w:val="005F08A2"/>
    <w:rsid w:val="00623478"/>
    <w:rsid w:val="0063402B"/>
    <w:rsid w:val="00643D37"/>
    <w:rsid w:val="0065435B"/>
    <w:rsid w:val="00667AB6"/>
    <w:rsid w:val="00690FB9"/>
    <w:rsid w:val="00695F96"/>
    <w:rsid w:val="006A0154"/>
    <w:rsid w:val="006D2670"/>
    <w:rsid w:val="006E5715"/>
    <w:rsid w:val="0072331A"/>
    <w:rsid w:val="00754FC0"/>
    <w:rsid w:val="0077383D"/>
    <w:rsid w:val="00787674"/>
    <w:rsid w:val="007A48A9"/>
    <w:rsid w:val="007B2B14"/>
    <w:rsid w:val="007F25E4"/>
    <w:rsid w:val="0081380C"/>
    <w:rsid w:val="00832805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516F"/>
    <w:rsid w:val="009C55D2"/>
    <w:rsid w:val="009E39D2"/>
    <w:rsid w:val="009E702B"/>
    <w:rsid w:val="00A156D2"/>
    <w:rsid w:val="00A34E28"/>
    <w:rsid w:val="00A42706"/>
    <w:rsid w:val="00A42A9B"/>
    <w:rsid w:val="00A75227"/>
    <w:rsid w:val="00A859E0"/>
    <w:rsid w:val="00AD1737"/>
    <w:rsid w:val="00B25625"/>
    <w:rsid w:val="00BA21D5"/>
    <w:rsid w:val="00BC63B3"/>
    <w:rsid w:val="00C21A4B"/>
    <w:rsid w:val="00C37C0A"/>
    <w:rsid w:val="00C47EBC"/>
    <w:rsid w:val="00C51F22"/>
    <w:rsid w:val="00C6161A"/>
    <w:rsid w:val="00CA656E"/>
    <w:rsid w:val="00CD6CD3"/>
    <w:rsid w:val="00D45EF4"/>
    <w:rsid w:val="00D647F2"/>
    <w:rsid w:val="00D77AE7"/>
    <w:rsid w:val="00DB7A57"/>
    <w:rsid w:val="00DE2BC7"/>
    <w:rsid w:val="00DF102E"/>
    <w:rsid w:val="00DF1928"/>
    <w:rsid w:val="00DF1E19"/>
    <w:rsid w:val="00DF27D0"/>
    <w:rsid w:val="00E76797"/>
    <w:rsid w:val="00EF44C4"/>
    <w:rsid w:val="00F205CE"/>
    <w:rsid w:val="00F944FB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71F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571F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D647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LuoTing</cp:lastModifiedBy>
  <cp:revision>30</cp:revision>
  <cp:lastPrinted>2016-05-29T13:45:00Z</cp:lastPrinted>
  <dcterms:created xsi:type="dcterms:W3CDTF">2014-09-10T07:38:00Z</dcterms:created>
  <dcterms:modified xsi:type="dcterms:W3CDTF">2016-10-09T12:59:00Z</dcterms:modified>
</cp:coreProperties>
</file>