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950CE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340713" w:rsidRDefault="00D54EF8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</w:pPr>
                  <w:r w:rsidRPr="00D54EF8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Cholera Toxin B subunit</w:t>
                  </w:r>
                  <w:r w:rsidRPr="00D54EF8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、</w:t>
                  </w:r>
                  <w:r w:rsidRPr="00D54EF8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CTxB</w:t>
                  </w:r>
                </w:p>
              </w:txbxContent>
            </v:textbox>
          </v:shape>
        </w:pict>
      </w:r>
    </w:p>
    <w:p w:rsidR="00DF27D0" w:rsidRDefault="00404D1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E6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CD6CD3" w:rsidRPr="00D54EF8" w:rsidRDefault="00404D1E" w:rsidP="006B106C">
      <w:pPr>
        <w:spacing w:line="360" w:lineRule="exact"/>
        <w:rPr>
          <w:rFonts w:ascii="Arial" w:eastAsia="微软雅黑" w:hAnsi="Arial" w:cs="Arial"/>
          <w:b/>
          <w:kern w:val="0"/>
          <w:sz w:val="18"/>
          <w:szCs w:val="18"/>
        </w:rPr>
      </w:pPr>
      <w:r w:rsidRPr="00D54EF8">
        <w:rPr>
          <w:rFonts w:ascii="Arial" w:eastAsia="微软雅黑" w:hAnsi="Arial" w:cs="Arial"/>
          <w:b/>
          <w:bCs/>
          <w:sz w:val="18"/>
          <w:szCs w:val="18"/>
        </w:rPr>
        <w:t xml:space="preserve">Catalog </w:t>
      </w:r>
      <w:proofErr w:type="gramStart"/>
      <w:r w:rsidRPr="00D54EF8">
        <w:rPr>
          <w:rFonts w:ascii="Arial" w:eastAsia="微软雅黑" w:hAnsi="Arial" w:cs="Arial"/>
          <w:b/>
          <w:bCs/>
          <w:sz w:val="18"/>
          <w:szCs w:val="18"/>
        </w:rPr>
        <w:t>Number :</w:t>
      </w:r>
      <w:proofErr w:type="gramEnd"/>
      <w:r w:rsidRPr="00D54EF8">
        <w:rPr>
          <w:rFonts w:ascii="Arial" w:eastAsia="微软雅黑" w:hAnsi="Arial" w:cs="Arial"/>
          <w:b/>
          <w:sz w:val="18"/>
          <w:szCs w:val="18"/>
        </w:rPr>
        <w:t xml:space="preserve"> M</w:t>
      </w:r>
      <w:r w:rsidR="00D54EF8">
        <w:rPr>
          <w:rFonts w:ascii="Arial" w:eastAsia="微软雅黑" w:hAnsi="Arial" w:cs="Arial" w:hint="eastAsia"/>
          <w:b/>
          <w:sz w:val="18"/>
          <w:szCs w:val="18"/>
        </w:rPr>
        <w:t>BX10205</w:t>
      </w:r>
      <w:r w:rsidR="002D0290" w:rsidRPr="00D54EF8">
        <w:rPr>
          <w:rFonts w:ascii="Arial" w:eastAsia="微软雅黑" w:hAnsi="Arial" w:cs="Arial"/>
          <w:b/>
          <w:sz w:val="18"/>
          <w:szCs w:val="18"/>
        </w:rPr>
        <w:t xml:space="preserve">               </w:t>
      </w:r>
      <w:r w:rsidR="00CD6CD3" w:rsidRPr="00D54EF8">
        <w:rPr>
          <w:rFonts w:ascii="Arial" w:eastAsia="微软雅黑" w:hAnsi="Arial" w:cs="Arial"/>
          <w:b/>
          <w:sz w:val="18"/>
          <w:szCs w:val="18"/>
        </w:rPr>
        <w:t xml:space="preserve">   </w:t>
      </w:r>
      <w:r w:rsidR="006B106C">
        <w:rPr>
          <w:rFonts w:ascii="Arial" w:eastAsia="微软雅黑" w:hAnsi="Arial" w:cs="Arial"/>
          <w:b/>
          <w:sz w:val="18"/>
          <w:szCs w:val="18"/>
        </w:rPr>
        <w:t xml:space="preserve">    </w:t>
      </w:r>
      <w:r w:rsidR="00CD6CD3" w:rsidRPr="00D54EF8">
        <w:rPr>
          <w:rFonts w:ascii="Arial" w:eastAsia="微软雅黑" w:hAnsi="Arial" w:cs="Arial"/>
          <w:b/>
          <w:bCs/>
          <w:sz w:val="18"/>
          <w:szCs w:val="18"/>
        </w:rPr>
        <w:t xml:space="preserve">Packaging Size : </w:t>
      </w:r>
      <w:r w:rsidR="006640CA" w:rsidRPr="00D54EF8">
        <w:rPr>
          <w:rFonts w:ascii="Arial" w:eastAsia="微软雅黑" w:hAnsi="Arial" w:cs="Arial"/>
          <w:sz w:val="18"/>
          <w:szCs w:val="18"/>
        </w:rPr>
        <w:t>1</w:t>
      </w:r>
      <w:r w:rsidR="00D54EF8">
        <w:rPr>
          <w:rFonts w:ascii="Arial" w:eastAsia="微软雅黑" w:hAnsi="Arial" w:cs="Arial"/>
          <w:sz w:val="18"/>
          <w:szCs w:val="18"/>
        </w:rPr>
        <w:t>mg</w:t>
      </w:r>
      <w:r w:rsidR="006640CA" w:rsidRPr="00D54EF8">
        <w:rPr>
          <w:rFonts w:ascii="Arial" w:eastAsia="微软雅黑" w:hAnsi="Arial" w:cs="Arial"/>
          <w:sz w:val="18"/>
          <w:szCs w:val="18"/>
        </w:rPr>
        <w:t xml:space="preserve">             </w:t>
      </w:r>
      <w:r w:rsidR="006B106C">
        <w:rPr>
          <w:rFonts w:ascii="Arial" w:eastAsia="微软雅黑" w:hAnsi="Arial" w:cs="Arial" w:hint="eastAsia"/>
          <w:sz w:val="18"/>
          <w:szCs w:val="18"/>
        </w:rPr>
        <w:t xml:space="preserve">    </w:t>
      </w:r>
      <w:r w:rsidR="00D54EF8">
        <w:rPr>
          <w:rFonts w:ascii="Arial" w:eastAsia="微软雅黑" w:hAnsi="Arial" w:cs="Arial" w:hint="eastAsia"/>
          <w:sz w:val="18"/>
          <w:szCs w:val="18"/>
        </w:rPr>
        <w:t xml:space="preserve">  </w:t>
      </w:r>
      <w:r w:rsidR="006640CA" w:rsidRPr="00D54EF8">
        <w:rPr>
          <w:rFonts w:ascii="Arial" w:eastAsia="微软雅黑" w:hAnsi="Arial" w:cs="Arial"/>
          <w:b/>
          <w:bCs/>
          <w:kern w:val="0"/>
          <w:sz w:val="18"/>
          <w:szCs w:val="18"/>
        </w:rPr>
        <w:t xml:space="preserve">Lot Number : </w:t>
      </w:r>
      <w:r w:rsidR="006640CA" w:rsidRPr="00D54EF8">
        <w:rPr>
          <w:rFonts w:ascii="Arial" w:eastAsia="微软雅黑" w:hAnsi="Arial" w:cs="Arial"/>
          <w:b/>
          <w:kern w:val="0"/>
          <w:sz w:val="18"/>
          <w:szCs w:val="18"/>
        </w:rPr>
        <w:t>Refer to vial</w:t>
      </w:r>
    </w:p>
    <w:p w:rsidR="006640CA" w:rsidRPr="00D54EF8" w:rsidRDefault="006640CA" w:rsidP="006B106C">
      <w:pPr>
        <w:spacing w:line="360" w:lineRule="exact"/>
        <w:rPr>
          <w:rFonts w:ascii="Arial" w:eastAsia="微软雅黑" w:hAnsi="Arial" w:cs="Arial"/>
          <w:b/>
          <w:kern w:val="0"/>
          <w:sz w:val="18"/>
          <w:szCs w:val="18"/>
        </w:rPr>
      </w:pPr>
      <w:r w:rsidRPr="00D54EF8">
        <w:rPr>
          <w:rFonts w:ascii="Arial" w:eastAsia="微软雅黑" w:hAnsi="Arial" w:cs="Arial"/>
          <w:b/>
          <w:kern w:val="0"/>
          <w:sz w:val="18"/>
          <w:szCs w:val="18"/>
        </w:rPr>
        <w:t>Synonym :</w:t>
      </w:r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霍乱毒素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B</w:t>
      </w:r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亚基、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CHOLERA TOXIN B SUBUNIT</w:t>
      </w:r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、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CTB</w:t>
      </w:r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、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 xml:space="preserve"> Cholera Toxin B subunit</w:t>
      </w:r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、</w:t>
      </w:r>
      <w:proofErr w:type="spellStart"/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CTxB</w:t>
      </w:r>
      <w:proofErr w:type="spellEnd"/>
      <w:r w:rsidR="00D54EF8" w:rsidRPr="00D54EF8">
        <w:rPr>
          <w:rFonts w:ascii="Arial" w:eastAsia="微软雅黑" w:hAnsi="微软雅黑" w:cs="Arial"/>
          <w:kern w:val="0"/>
          <w:sz w:val="18"/>
          <w:szCs w:val="18"/>
        </w:rPr>
        <w:t>、</w:t>
      </w:r>
      <w:proofErr w:type="spellStart"/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Choleragenoid</w:t>
      </w:r>
      <w:proofErr w:type="spellEnd"/>
    </w:p>
    <w:p w:rsidR="002D0290" w:rsidRPr="00D54EF8" w:rsidRDefault="002D0290" w:rsidP="006B106C">
      <w:pPr>
        <w:spacing w:line="360" w:lineRule="exact"/>
        <w:rPr>
          <w:rFonts w:ascii="Arial" w:eastAsia="微软雅黑" w:hAnsi="Arial" w:cs="Arial"/>
          <w:b/>
          <w:kern w:val="0"/>
          <w:sz w:val="18"/>
          <w:szCs w:val="18"/>
        </w:rPr>
      </w:pPr>
      <w:proofErr w:type="gramStart"/>
      <w:r w:rsidRPr="00D54EF8">
        <w:rPr>
          <w:rFonts w:ascii="Arial" w:eastAsia="微软雅黑" w:hAnsi="Arial" w:cs="Arial"/>
          <w:b/>
          <w:kern w:val="0"/>
          <w:sz w:val="18"/>
          <w:szCs w:val="18"/>
        </w:rPr>
        <w:t>CAS :</w:t>
      </w:r>
      <w:proofErr w:type="gramEnd"/>
      <w:r w:rsidRPr="00D54EF8">
        <w:rPr>
          <w:rFonts w:ascii="Arial" w:eastAsia="微软雅黑" w:hAnsi="Arial" w:cs="Arial"/>
          <w:b/>
          <w:kern w:val="0"/>
          <w:sz w:val="18"/>
          <w:szCs w:val="18"/>
        </w:rPr>
        <w:t xml:space="preserve"> 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131096-89-4</w:t>
      </w:r>
      <w:r w:rsidR="006B106C">
        <w:rPr>
          <w:rFonts w:ascii="Arial" w:eastAsia="微软雅黑" w:hAnsi="Arial" w:cs="Arial" w:hint="eastAsia"/>
          <w:kern w:val="0"/>
          <w:sz w:val="18"/>
          <w:szCs w:val="18"/>
        </w:rPr>
        <w:t xml:space="preserve">                                </w:t>
      </w:r>
      <w:r w:rsidR="006B106C" w:rsidRPr="006B106C">
        <w:rPr>
          <w:rFonts w:ascii="Arial" w:hAnsi="Arial" w:cs="Arial" w:hint="eastAsia"/>
          <w:b/>
          <w:sz w:val="20"/>
          <w:szCs w:val="20"/>
          <w:shd w:val="clear" w:color="auto" w:fill="FFFFFF"/>
        </w:rPr>
        <w:t>Mo</w:t>
      </w:r>
      <w:r w:rsidR="006B106C" w:rsidRPr="006B106C">
        <w:rPr>
          <w:rFonts w:ascii="Arial" w:hAnsi="Arial" w:cs="Arial"/>
          <w:b/>
          <w:sz w:val="20"/>
          <w:szCs w:val="20"/>
          <w:shd w:val="clear" w:color="auto" w:fill="FFFFFF"/>
        </w:rPr>
        <w:t>lecular weight</w:t>
      </w:r>
      <w:r w:rsidR="006B106C" w:rsidRPr="006B106C">
        <w:rPr>
          <w:rFonts w:ascii="Arial" w:hAnsi="Arial" w:cs="Arial" w:hint="eastAsia"/>
          <w:b/>
          <w:sz w:val="20"/>
          <w:szCs w:val="20"/>
          <w:shd w:val="clear" w:color="auto" w:fill="FFFFFF"/>
        </w:rPr>
        <w:t xml:space="preserve"> :</w:t>
      </w:r>
      <w:r w:rsidR="006B106C">
        <w:rPr>
          <w:rFonts w:ascii="Arial" w:hAnsi="Arial" w:cs="Arial" w:hint="eastAsia"/>
          <w:sz w:val="20"/>
          <w:szCs w:val="20"/>
          <w:shd w:val="clear" w:color="auto" w:fill="FFFFFF"/>
        </w:rPr>
        <w:t xml:space="preserve"> 11kd</w:t>
      </w:r>
      <w:r w:rsidR="006B106C">
        <w:rPr>
          <w:rFonts w:ascii="Arial" w:eastAsia="微软雅黑" w:hAnsi="Arial" w:cs="Arial" w:hint="eastAsia"/>
          <w:b/>
          <w:kern w:val="0"/>
          <w:sz w:val="18"/>
          <w:szCs w:val="18"/>
        </w:rPr>
        <w:t xml:space="preserve">               </w:t>
      </w:r>
      <w:r w:rsidRPr="00D54EF8">
        <w:rPr>
          <w:rFonts w:ascii="Arial" w:eastAsia="微软雅黑" w:hAnsi="Arial" w:cs="Arial"/>
          <w:b/>
          <w:kern w:val="0"/>
          <w:sz w:val="18"/>
          <w:szCs w:val="18"/>
        </w:rPr>
        <w:t xml:space="preserve">Purity ≥ </w:t>
      </w:r>
      <w:r w:rsidR="006640CA" w:rsidRPr="00D54EF8">
        <w:rPr>
          <w:rFonts w:ascii="Arial" w:eastAsia="微软雅黑" w:hAnsi="Arial" w:cs="Arial"/>
          <w:kern w:val="0"/>
          <w:sz w:val="18"/>
          <w:szCs w:val="18"/>
        </w:rPr>
        <w:t>9</w:t>
      </w:r>
      <w:r w:rsidR="00D54EF8" w:rsidRPr="00D54EF8">
        <w:rPr>
          <w:rFonts w:ascii="Arial" w:eastAsia="微软雅黑" w:hAnsi="Arial" w:cs="Arial"/>
          <w:kern w:val="0"/>
          <w:sz w:val="18"/>
          <w:szCs w:val="18"/>
        </w:rPr>
        <w:t>5.0</w:t>
      </w:r>
      <w:r w:rsidRPr="00D54EF8">
        <w:rPr>
          <w:rFonts w:ascii="Arial" w:eastAsia="微软雅黑" w:hAnsi="Arial" w:cs="Arial"/>
          <w:kern w:val="0"/>
          <w:sz w:val="18"/>
          <w:szCs w:val="18"/>
        </w:rPr>
        <w:t>%</w:t>
      </w:r>
      <w:r w:rsidRPr="00D54EF8">
        <w:rPr>
          <w:rFonts w:ascii="Arial" w:eastAsia="微软雅黑" w:hAnsi="Arial" w:cs="Arial"/>
          <w:b/>
          <w:kern w:val="0"/>
          <w:sz w:val="18"/>
          <w:szCs w:val="18"/>
        </w:rPr>
        <w:t xml:space="preserve"> </w:t>
      </w:r>
    </w:p>
    <w:p w:rsidR="006640CA" w:rsidRDefault="006640CA" w:rsidP="006B106C">
      <w:pPr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</w:p>
    <w:p w:rsidR="00404D1E" w:rsidRPr="006640CA" w:rsidRDefault="00404D1E" w:rsidP="006B106C">
      <w:pPr>
        <w:pStyle w:val="Default"/>
        <w:spacing w:line="360" w:lineRule="exact"/>
        <w:rPr>
          <w:rFonts w:ascii="Verdana" w:hAnsi="Verdana"/>
          <w:b/>
          <w:bCs/>
          <w:color w:val="0083A8"/>
          <w:sz w:val="23"/>
          <w:szCs w:val="23"/>
          <w:shd w:val="clear" w:color="auto" w:fill="FFFFFF"/>
        </w:rPr>
      </w:pPr>
      <w:r w:rsidRPr="006640CA">
        <w:rPr>
          <w:rFonts w:ascii="Verdana" w:hAnsi="Verdana"/>
          <w:b/>
          <w:bCs/>
          <w:color w:val="0083A8"/>
          <w:sz w:val="23"/>
          <w:szCs w:val="23"/>
          <w:shd w:val="clear" w:color="auto" w:fill="FFFFFF"/>
        </w:rPr>
        <w:t>Background</w:t>
      </w:r>
    </w:p>
    <w:p w:rsidR="00D54EF8" w:rsidRPr="00D54EF8" w:rsidRDefault="00D54EF8" w:rsidP="006B106C">
      <w:pPr>
        <w:pStyle w:val="Default"/>
        <w:spacing w:line="360" w:lineRule="exact"/>
        <w:jc w:val="both"/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</w:pPr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Cholera toxin</w:t>
      </w:r>
      <w:r w:rsidRPr="00D54EF8">
        <w:rPr>
          <w:rFonts w:eastAsia="微软雅黑" w:hAnsi="微软雅黑"/>
          <w:color w:val="222222"/>
          <w:kern w:val="2"/>
          <w:sz w:val="18"/>
          <w:szCs w:val="18"/>
          <w:shd w:val="clear" w:color="auto" w:fill="FCFDFD"/>
        </w:rPr>
        <w:t>（</w:t>
      </w:r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CTB,</w:t>
      </w:r>
      <w:r w:rsidRPr="00D54EF8">
        <w:rPr>
          <w:rFonts w:eastAsia="微软雅黑" w:hAnsi="微软雅黑"/>
          <w:color w:val="222222"/>
          <w:kern w:val="2"/>
          <w:sz w:val="18"/>
          <w:szCs w:val="18"/>
          <w:shd w:val="clear" w:color="auto" w:fill="FCFDFD"/>
        </w:rPr>
        <w:t>霍乱毒素</w:t>
      </w:r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B</w:t>
      </w:r>
      <w:r w:rsidRPr="00D54EF8">
        <w:rPr>
          <w:rFonts w:eastAsia="微软雅黑" w:hAnsi="微软雅黑"/>
          <w:color w:val="222222"/>
          <w:kern w:val="2"/>
          <w:sz w:val="18"/>
          <w:szCs w:val="18"/>
          <w:shd w:val="clear" w:color="auto" w:fill="FCFDFD"/>
        </w:rPr>
        <w:t>亚基）</w:t>
      </w:r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belongs to the AB5 –subunit family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oftoxins.The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native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hexameric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protein has a molecular mass of ~85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kDa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and contains two subunits. It consists of a single A subunit (~27.2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kDa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), responsible for the ADP-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ribosylation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activity, and five B </w:t>
      </w:r>
      <w:proofErr w:type="gram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subunits(</w:t>
      </w:r>
      <w:proofErr w:type="gram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~11.6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kDa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each), which are arranged as a 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pentameric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ring with an apparent 5-fold symmetry and are associated with the cell surface receptor binding and subsequent internalization (</w:t>
      </w:r>
      <w:proofErr w:type="spellStart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>transmembrane</w:t>
      </w:r>
      <w:proofErr w:type="spellEnd"/>
      <w:r w:rsidRPr="00D54EF8">
        <w:rPr>
          <w:rFonts w:eastAsia="微软雅黑"/>
          <w:color w:val="222222"/>
          <w:kern w:val="2"/>
          <w:sz w:val="18"/>
          <w:szCs w:val="18"/>
          <w:shd w:val="clear" w:color="auto" w:fill="FCFDFD"/>
        </w:rPr>
        <w:t xml:space="preserve"> transport)of the enzymatic component.</w:t>
      </w:r>
      <w:r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The B subunit is non-toxic to cells and possesses no intrinsic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adenylate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cyclase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activity. The cholera toxin B subunit (CTB) attaches to cells by binding to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ganglioside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GM1.8 CTB has been shown to be a good label for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microglial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cells (due to the enrichment of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ganglioside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GM1 on their cell surface), but not for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oligodendrocytes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or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astrocytes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. The B subunit has been reported to be an excellent tracer for the study of axonal transport using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immunohistochemical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methods. Recently it has been widely used as a marker of membrane lipid rafts, which are membrane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microdomains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enriched with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cholestrol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and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sphingolipids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. These lipid rafts have an important role in cell signaling and protein trafficking.</w:t>
      </w:r>
    </w:p>
    <w:p w:rsidR="00340713" w:rsidRDefault="00D54EF8" w:rsidP="006B106C">
      <w:pPr>
        <w:pStyle w:val="Default"/>
        <w:spacing w:beforeLines="50" w:line="360" w:lineRule="exact"/>
        <w:rPr>
          <w:rFonts w:ascii="Verdana" w:hAnsi="Verdana" w:hint="eastAsia"/>
          <w:b/>
          <w:bCs/>
          <w:color w:val="0083A8"/>
          <w:sz w:val="23"/>
          <w:szCs w:val="23"/>
          <w:shd w:val="clear" w:color="auto" w:fill="FFFFFF"/>
        </w:rPr>
      </w:pPr>
      <w:hyperlink r:id="rId9" w:tgtFrame="_blank" w:history="1">
        <w:r>
          <w:rPr>
            <w:rFonts w:ascii="Verdana" w:hAnsi="Verdana" w:hint="eastAsia"/>
            <w:b/>
            <w:bCs/>
            <w:color w:val="0083A8"/>
            <w:sz w:val="23"/>
            <w:szCs w:val="23"/>
          </w:rPr>
          <w:t>A</w:t>
        </w:r>
        <w:r w:rsidRPr="00D54EF8">
          <w:rPr>
            <w:rFonts w:ascii="Verdana" w:hAnsi="Verdana"/>
            <w:b/>
            <w:bCs/>
            <w:color w:val="0083A8"/>
            <w:sz w:val="23"/>
            <w:szCs w:val="23"/>
          </w:rPr>
          <w:t>pplication</w:t>
        </w:r>
      </w:hyperlink>
    </w:p>
    <w:p w:rsidR="00D54EF8" w:rsidRPr="00D54EF8" w:rsidRDefault="00D54EF8" w:rsidP="006B106C">
      <w:pPr>
        <w:pStyle w:val="Default"/>
        <w:spacing w:line="360" w:lineRule="exact"/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</w:pP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Cholera toxin and its purified A subunit are frequently used for the study of signal transduction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mechanisms.In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addition,cholera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toxin acts as an adjuvant through the stimulation of B lymphocytes. The cholera toxin B subunit alone is used for track tracing in neurological research, taking advantage of GM1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ganglioside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binding and retrograde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transport.Tissue</w:t>
      </w:r>
      <w:proofErr w:type="spell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culture cells treated with cholera toxin are not killed and tissues of animals do not become necrotic.</w:t>
      </w:r>
    </w:p>
    <w:p w:rsidR="00D54EF8" w:rsidRDefault="00D54EF8" w:rsidP="006B106C">
      <w:pPr>
        <w:pStyle w:val="Default"/>
        <w:spacing w:beforeLines="50" w:line="360" w:lineRule="exact"/>
        <w:rPr>
          <w:rFonts w:ascii="Verdana" w:hAnsi="Verdana" w:hint="eastAsia"/>
          <w:b/>
          <w:bCs/>
          <w:color w:val="0083A8"/>
          <w:sz w:val="23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83A8"/>
          <w:sz w:val="23"/>
          <w:szCs w:val="23"/>
          <w:shd w:val="clear" w:color="auto" w:fill="FFFFFF"/>
        </w:rPr>
        <w:t>Technical Information</w:t>
      </w:r>
    </w:p>
    <w:p w:rsidR="006B106C" w:rsidRDefault="006B106C" w:rsidP="006B106C">
      <w:pPr>
        <w:pStyle w:val="Default"/>
        <w:spacing w:line="360" w:lineRule="exact"/>
        <w:rPr>
          <w:b/>
          <w:color w:val="000000" w:themeColor="text1"/>
          <w:kern w:val="2"/>
          <w:sz w:val="21"/>
          <w:szCs w:val="21"/>
          <w:shd w:val="clear" w:color="auto" w:fill="FCFDFD"/>
        </w:rPr>
      </w:pPr>
      <w:proofErr w:type="gramStart"/>
      <w:r>
        <w:rPr>
          <w:color w:val="333333"/>
          <w:sz w:val="20"/>
          <w:szCs w:val="20"/>
          <w:shd w:val="clear" w:color="auto" w:fill="FFFFFF"/>
        </w:rPr>
        <w:t>Appearance</w:t>
      </w:r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hint="eastAsia"/>
          <w:color w:val="333333"/>
          <w:sz w:val="20"/>
          <w:szCs w:val="20"/>
          <w:shd w:val="clear" w:color="auto" w:fill="FFFFFF"/>
        </w:rPr>
        <w:t xml:space="preserve"> powder</w:t>
      </w:r>
    </w:p>
    <w:p w:rsidR="006B106C" w:rsidRDefault="00D54EF8" w:rsidP="006B106C">
      <w:pPr>
        <w:pStyle w:val="Default"/>
        <w:spacing w:line="360" w:lineRule="exact"/>
        <w:rPr>
          <w:rFonts w:hint="eastAsia"/>
          <w:color w:val="222222"/>
          <w:kern w:val="2"/>
          <w:sz w:val="18"/>
          <w:szCs w:val="18"/>
          <w:shd w:val="clear" w:color="auto" w:fill="FCFDFD"/>
        </w:rPr>
      </w:pPr>
      <w:proofErr w:type="gram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Format</w:t>
      </w:r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:</w:t>
      </w:r>
      <w:proofErr w:type="gramEnd"/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Recombinant</w:t>
      </w:r>
    </w:p>
    <w:p w:rsidR="006B106C" w:rsidRDefault="00D54EF8" w:rsidP="006B106C">
      <w:pPr>
        <w:pStyle w:val="Default"/>
        <w:spacing w:line="360" w:lineRule="exact"/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</w:pPr>
      <w:proofErr w:type="gram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Source</w:t>
      </w:r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:</w:t>
      </w:r>
      <w:proofErr w:type="gramEnd"/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E.coli</w:t>
      </w:r>
      <w:proofErr w:type="spellEnd"/>
    </w:p>
    <w:p w:rsidR="00D54EF8" w:rsidRPr="00D54EF8" w:rsidRDefault="00D54EF8" w:rsidP="006B106C">
      <w:pPr>
        <w:pStyle w:val="Default"/>
        <w:spacing w:line="360" w:lineRule="exact"/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</w:pP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Sodium </w:t>
      </w:r>
      <w:proofErr w:type="spellStart"/>
      <w:proofErr w:type="gram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azide</w:t>
      </w:r>
      <w:proofErr w:type="spellEnd"/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:</w:t>
      </w:r>
      <w:proofErr w:type="gramEnd"/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Not add</w:t>
      </w:r>
    </w:p>
    <w:p w:rsidR="00D54EF8" w:rsidRPr="00D54EF8" w:rsidRDefault="00D54EF8" w:rsidP="006B106C">
      <w:pPr>
        <w:pStyle w:val="Default"/>
        <w:spacing w:line="360" w:lineRule="exact"/>
        <w:rPr>
          <w:rFonts w:eastAsia="微软雅黑"/>
          <w:color w:val="222222"/>
          <w:kern w:val="2"/>
          <w:sz w:val="18"/>
          <w:szCs w:val="18"/>
          <w:shd w:val="clear" w:color="auto" w:fill="FCFDFD"/>
        </w:rPr>
      </w:pPr>
      <w:proofErr w:type="gram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H2O</w:t>
      </w:r>
      <w:r w:rsidR="006B106C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:</w:t>
      </w:r>
      <w:proofErr w:type="gramEnd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 xml:space="preserve"> soluble 1mg/</w:t>
      </w:r>
      <w:proofErr w:type="spellStart"/>
      <w:r w:rsidRPr="00D54EF8">
        <w:rPr>
          <w:rFonts w:eastAsia="微软雅黑" w:hint="eastAsia"/>
          <w:color w:val="222222"/>
          <w:kern w:val="2"/>
          <w:sz w:val="18"/>
          <w:szCs w:val="18"/>
          <w:shd w:val="clear" w:color="auto" w:fill="FCFDFD"/>
        </w:rPr>
        <w:t>mL</w:t>
      </w:r>
      <w:proofErr w:type="spellEnd"/>
    </w:p>
    <w:p w:rsidR="00DF102E" w:rsidRPr="006640CA" w:rsidRDefault="00DF102E" w:rsidP="006B106C">
      <w:pPr>
        <w:pStyle w:val="Default"/>
        <w:spacing w:beforeLines="50" w:line="360" w:lineRule="exact"/>
        <w:rPr>
          <w:rFonts w:ascii="Verdana" w:hAnsi="Verdana"/>
          <w:b/>
          <w:bCs/>
          <w:color w:val="0083A8"/>
          <w:sz w:val="23"/>
          <w:szCs w:val="23"/>
          <w:shd w:val="clear" w:color="auto" w:fill="FFFFFF"/>
        </w:rPr>
      </w:pPr>
      <w:r w:rsidRPr="006640CA">
        <w:rPr>
          <w:rFonts w:ascii="Verdana" w:hAnsi="Verdana" w:hint="eastAsia"/>
          <w:b/>
          <w:bCs/>
          <w:color w:val="0083A8"/>
          <w:sz w:val="23"/>
          <w:szCs w:val="23"/>
          <w:shd w:val="clear" w:color="auto" w:fill="FFFFFF"/>
        </w:rPr>
        <w:t>Storage</w:t>
      </w:r>
      <w:r w:rsidR="006640CA" w:rsidRPr="006640CA">
        <w:rPr>
          <w:rFonts w:ascii="Verdana" w:hAnsi="Verdana" w:hint="eastAsia"/>
          <w:b/>
          <w:bCs/>
          <w:color w:val="0083A8"/>
          <w:sz w:val="23"/>
          <w:szCs w:val="23"/>
          <w:shd w:val="clear" w:color="auto" w:fill="FFFFFF"/>
        </w:rPr>
        <w:t xml:space="preserve"> condition</w:t>
      </w:r>
    </w:p>
    <w:p w:rsidR="00D54EF8" w:rsidRPr="00D54EF8" w:rsidRDefault="00D54EF8" w:rsidP="006B106C">
      <w:pPr>
        <w:pStyle w:val="Default"/>
        <w:spacing w:line="360" w:lineRule="exact"/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</w:pP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2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–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8</w:t>
      </w:r>
      <w:r w:rsidRPr="00340713">
        <w:rPr>
          <w:rFonts w:eastAsia="Meiryo"/>
          <w:color w:val="222222"/>
          <w:kern w:val="2"/>
          <w:sz w:val="18"/>
          <w:szCs w:val="18"/>
          <w:shd w:val="clear" w:color="auto" w:fill="FCFDFD"/>
        </w:rPr>
        <w:t>°C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, The product, as supplied, is stable 2 years when stored properly. Solutions</w:t>
      </w:r>
      <w:r>
        <w:rPr>
          <w:rFonts w:hint="eastAsia"/>
          <w:color w:val="222222"/>
          <w:kern w:val="2"/>
          <w:sz w:val="18"/>
          <w:szCs w:val="18"/>
          <w:shd w:val="clear" w:color="auto" w:fill="FCFDFD"/>
        </w:rPr>
        <w:t xml:space="preserve"> 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are stable for at least 3 months when stored at 2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–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>8</w:t>
      </w:r>
      <w:r w:rsidRPr="00340713">
        <w:rPr>
          <w:rFonts w:eastAsia="Meiryo"/>
          <w:color w:val="222222"/>
          <w:kern w:val="2"/>
          <w:sz w:val="18"/>
          <w:szCs w:val="18"/>
          <w:shd w:val="clear" w:color="auto" w:fill="FCFDFD"/>
        </w:rPr>
        <w:t>°C</w:t>
      </w:r>
      <w:r w:rsidRPr="00D54EF8">
        <w:rPr>
          <w:rFonts w:eastAsia="Meiryo" w:hint="eastAsia"/>
          <w:color w:val="222222"/>
          <w:kern w:val="2"/>
          <w:sz w:val="18"/>
          <w:szCs w:val="18"/>
          <w:shd w:val="clear" w:color="auto" w:fill="FCFDFD"/>
        </w:rPr>
        <w:t xml:space="preserve">. </w:t>
      </w:r>
      <w:r w:rsidRPr="006B106C">
        <w:rPr>
          <w:rFonts w:eastAsia="Meiryo" w:hint="eastAsia"/>
          <w:b/>
          <w:color w:val="222222"/>
          <w:kern w:val="2"/>
          <w:sz w:val="18"/>
          <w:szCs w:val="18"/>
          <w:shd w:val="clear" w:color="auto" w:fill="FCFDFD"/>
        </w:rPr>
        <w:t>DO NOT FREEZE.</w:t>
      </w:r>
    </w:p>
    <w:p w:rsidR="0041783B" w:rsidRPr="0041783B" w:rsidRDefault="0041783B" w:rsidP="006B106C">
      <w:pPr>
        <w:pStyle w:val="Default"/>
        <w:spacing w:line="360" w:lineRule="exact"/>
        <w:jc w:val="center"/>
        <w:rPr>
          <w:b/>
          <w:bCs/>
          <w:i/>
          <w:sz w:val="21"/>
          <w:szCs w:val="21"/>
        </w:rPr>
      </w:pPr>
      <w:proofErr w:type="gramStart"/>
      <w:r w:rsidRPr="0041783B">
        <w:rPr>
          <w:b/>
          <w:i/>
          <w:sz w:val="21"/>
          <w:szCs w:val="21"/>
          <w:shd w:val="clear" w:color="auto" w:fill="FFFFFF"/>
        </w:rPr>
        <w:t>For Research Use Only.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Not For Use </w:t>
      </w:r>
      <w:proofErr w:type="gramStart"/>
      <w:r w:rsidRPr="0041783B">
        <w:rPr>
          <w:b/>
          <w:i/>
          <w:sz w:val="21"/>
          <w:szCs w:val="21"/>
          <w:shd w:val="clear" w:color="auto" w:fill="FFFFFF"/>
        </w:rPr>
        <w:t>In</w:t>
      </w:r>
      <w:proofErr w:type="gramEnd"/>
      <w:r w:rsidRPr="0041783B">
        <w:rPr>
          <w:b/>
          <w:i/>
          <w:sz w:val="21"/>
          <w:szCs w:val="21"/>
          <w:shd w:val="clear" w:color="auto" w:fill="FFFFFF"/>
        </w:rPr>
        <w:t xml:space="preserve"> Diagnostic Procedures.</w:t>
      </w:r>
    </w:p>
    <w:sectPr w:rsidR="0041783B" w:rsidRPr="0041783B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26" w:rsidRDefault="00842726" w:rsidP="0065435B">
      <w:r>
        <w:separator/>
      </w:r>
    </w:p>
  </w:endnote>
  <w:endnote w:type="continuationSeparator" w:id="0">
    <w:p w:rsidR="00842726" w:rsidRDefault="00842726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26" w:rsidRDefault="00842726" w:rsidP="0065435B">
      <w:r>
        <w:separator/>
      </w:r>
    </w:p>
  </w:footnote>
  <w:footnote w:type="continuationSeparator" w:id="0">
    <w:p w:rsidR="00842726" w:rsidRDefault="00842726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40713"/>
    <w:rsid w:val="00371A2F"/>
    <w:rsid w:val="0038799B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40CA"/>
    <w:rsid w:val="00667AB6"/>
    <w:rsid w:val="00690FB9"/>
    <w:rsid w:val="00695F96"/>
    <w:rsid w:val="006A0154"/>
    <w:rsid w:val="006B106C"/>
    <w:rsid w:val="006C3203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42726"/>
    <w:rsid w:val="008878E6"/>
    <w:rsid w:val="008906ED"/>
    <w:rsid w:val="008B5A6C"/>
    <w:rsid w:val="008C7578"/>
    <w:rsid w:val="00902748"/>
    <w:rsid w:val="00904D45"/>
    <w:rsid w:val="00950CE6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BA21D5"/>
    <w:rsid w:val="00BC63B3"/>
    <w:rsid w:val="00C37C0A"/>
    <w:rsid w:val="00C47EBC"/>
    <w:rsid w:val="00C51F22"/>
    <w:rsid w:val="00C6161A"/>
    <w:rsid w:val="00CA656E"/>
    <w:rsid w:val="00CD3F8A"/>
    <w:rsid w:val="00CD6CD3"/>
    <w:rsid w:val="00D45EF4"/>
    <w:rsid w:val="00D54EF8"/>
    <w:rsid w:val="00D77AE7"/>
    <w:rsid w:val="00DB7A57"/>
    <w:rsid w:val="00DE2BC7"/>
    <w:rsid w:val="00DF102E"/>
    <w:rsid w:val="00DF1928"/>
    <w:rsid w:val="00DF1E19"/>
    <w:rsid w:val="00DF27D0"/>
    <w:rsid w:val="00E76797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1venRYiQ6FJBHqjZNnAtS12FGjIBf8sSBR3buNi3eg-jxI_f2OYGDoVxzjyRp6SrSbfD-bOugsSYJa9fcxr8Yz_-hSpv6lk0MNXITcCjJn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29</cp:revision>
  <cp:lastPrinted>2015-12-15T14:10:00Z</cp:lastPrinted>
  <dcterms:created xsi:type="dcterms:W3CDTF">2014-09-10T07:38:00Z</dcterms:created>
  <dcterms:modified xsi:type="dcterms:W3CDTF">2017-07-13T00:46:00Z</dcterms:modified>
</cp:coreProperties>
</file>