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D44E0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340713" w:rsidRDefault="007F4F22" w:rsidP="006D138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</w:pPr>
                  <w:r w:rsidRPr="007F4F22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Paclitaxel</w:t>
                  </w:r>
                  <w:r w:rsidR="00D72B33" w:rsidRPr="007F4F22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D72B33">
                    <w:rPr>
                      <w:rFonts w:ascii="Arial" w:hAnsi="Arial" w:cs="Arial" w:hint="eastAsia"/>
                      <w:b/>
                      <w:bCs/>
                      <w:i/>
                      <w:noProof/>
                      <w:color w:val="FFFFFF" w:themeColor="background1"/>
                      <w:sz w:val="30"/>
                      <w:szCs w:val="30"/>
                    </w:rPr>
                    <w:t xml:space="preserve">                         </w:t>
                  </w:r>
                  <w:r w:rsidR="006D138D">
                    <w:rPr>
                      <w:rFonts w:ascii="Arial" w:hAnsi="Arial" w:cs="Arial" w:hint="eastAsia"/>
                      <w:b/>
                      <w:bCs/>
                      <w:i/>
                      <w:noProof/>
                      <w:color w:val="FFFFFF" w:themeColor="background1"/>
                      <w:sz w:val="30"/>
                      <w:szCs w:val="30"/>
                    </w:rPr>
                    <w:t xml:space="preserve">            </w:t>
                  </w:r>
                  <w:r>
                    <w:rPr>
                      <w:rFonts w:ascii="Arial" w:hAnsi="Arial" w:cs="Arial" w:hint="eastAsia"/>
                      <w:b/>
                      <w:bCs/>
                      <w:i/>
                      <w:noProof/>
                      <w:color w:val="FFFFFF" w:themeColor="background1"/>
                      <w:sz w:val="30"/>
                      <w:szCs w:val="30"/>
                    </w:rPr>
                    <w:t xml:space="preserve">         </w:t>
                  </w:r>
                  <w:r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MTX1081</w:t>
                  </w:r>
                </w:p>
              </w:txbxContent>
            </v:textbox>
          </v:shape>
        </w:pict>
      </w:r>
    </w:p>
    <w:p w:rsidR="00DF27D0" w:rsidRDefault="00D44E0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D72B3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40005</wp:posOffset>
            </wp:positionV>
            <wp:extent cx="1000125" cy="352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33" w:rsidRPr="00397348" w:rsidRDefault="00CD6CD3" w:rsidP="006640CA">
      <w:pPr>
        <w:spacing w:line="320" w:lineRule="exact"/>
        <w:rPr>
          <w:rFonts w:ascii="Arial" w:hAnsi="Arial" w:cs="Arial"/>
          <w:b/>
          <w:szCs w:val="21"/>
        </w:rPr>
      </w:pPr>
      <w:r w:rsidRPr="00397348">
        <w:rPr>
          <w:rFonts w:ascii="Arial" w:hAnsi="Arial" w:cs="Arial"/>
          <w:b/>
          <w:bCs/>
          <w:szCs w:val="21"/>
        </w:rPr>
        <w:t xml:space="preserve">Packaging Size : </w:t>
      </w:r>
      <w:r w:rsidR="006D138D" w:rsidRPr="00397348">
        <w:rPr>
          <w:rFonts w:ascii="Arial" w:hAnsi="Arial" w:cs="Arial"/>
          <w:szCs w:val="21"/>
        </w:rPr>
        <w:t>200</w:t>
      </w:r>
      <w:r w:rsidR="006D138D" w:rsidRPr="00397348">
        <w:rPr>
          <w:rFonts w:ascii="Arial" w:hAnsi="Arial" w:cs="Arial" w:hint="eastAsia"/>
          <w:szCs w:val="21"/>
        </w:rPr>
        <w:t xml:space="preserve">mg  </w:t>
      </w:r>
      <w:r w:rsidR="006D138D" w:rsidRPr="00397348">
        <w:rPr>
          <w:rFonts w:ascii="宋体" w:eastAsia="宋体" w:hAnsi="宋体" w:cs="Arial" w:hint="eastAsia"/>
          <w:szCs w:val="21"/>
        </w:rPr>
        <w:t xml:space="preserve">□     </w:t>
      </w:r>
      <w:r w:rsidR="006D138D" w:rsidRPr="00397348">
        <w:rPr>
          <w:rFonts w:ascii="Arial" w:hAnsi="Arial" w:cs="Arial" w:hint="eastAsia"/>
          <w:szCs w:val="21"/>
        </w:rPr>
        <w:t>1g</w:t>
      </w:r>
      <w:r w:rsidR="006640CA" w:rsidRPr="00397348">
        <w:rPr>
          <w:rFonts w:ascii="Arial" w:hAnsi="Arial" w:cs="Arial"/>
          <w:szCs w:val="21"/>
        </w:rPr>
        <w:t xml:space="preserve"> </w:t>
      </w:r>
      <w:r w:rsidR="006D138D" w:rsidRPr="00397348">
        <w:rPr>
          <w:rFonts w:ascii="Arial" w:hAnsi="Arial" w:cs="Arial" w:hint="eastAsia"/>
          <w:szCs w:val="21"/>
        </w:rPr>
        <w:t xml:space="preserve"> </w:t>
      </w:r>
      <w:r w:rsidR="006D138D" w:rsidRPr="00397348">
        <w:rPr>
          <w:rFonts w:ascii="宋体" w:eastAsia="宋体" w:hAnsi="宋体" w:cs="Arial" w:hint="eastAsia"/>
          <w:szCs w:val="21"/>
        </w:rPr>
        <w:t>□</w:t>
      </w:r>
    </w:p>
    <w:p w:rsidR="00CD6CD3" w:rsidRPr="00397348" w:rsidRDefault="007F4F22" w:rsidP="006640CA">
      <w:pPr>
        <w:spacing w:line="320" w:lineRule="exact"/>
        <w:rPr>
          <w:rFonts w:ascii="Arial" w:hAnsi="Arial" w:cs="Arial"/>
          <w:b/>
          <w:kern w:val="0"/>
          <w:szCs w:val="21"/>
        </w:rPr>
      </w:pPr>
      <w:r>
        <w:rPr>
          <w:rFonts w:ascii="Arial" w:eastAsia="Meiryo" w:hAnsi="Arial" w:cs="Arial"/>
          <w:b/>
          <w:bCs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173990</wp:posOffset>
            </wp:positionV>
            <wp:extent cx="2390775" cy="1657350"/>
            <wp:effectExtent l="19050" t="0" r="9525" b="0"/>
            <wp:wrapNone/>
            <wp:docPr id="1" name="图片 1" descr="[field:text /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field:text /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0CA" w:rsidRPr="00397348">
        <w:rPr>
          <w:rFonts w:ascii="Arial" w:eastAsia="Meiryo" w:hAnsi="Arial" w:cs="Arial"/>
          <w:b/>
          <w:bCs/>
          <w:kern w:val="0"/>
          <w:szCs w:val="21"/>
        </w:rPr>
        <w:t xml:space="preserve">Lot Number : </w:t>
      </w:r>
      <w:r w:rsidR="006640CA" w:rsidRPr="00397348">
        <w:rPr>
          <w:rFonts w:ascii="Arial" w:eastAsia="Meiryo" w:hAnsi="Arial" w:cs="Arial"/>
          <w:kern w:val="0"/>
          <w:szCs w:val="21"/>
        </w:rPr>
        <w:t>Refer to vial</w:t>
      </w:r>
    </w:p>
    <w:p w:rsidR="00397348" w:rsidRDefault="00397348" w:rsidP="006D138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kern w:val="0"/>
          <w:szCs w:val="21"/>
        </w:rPr>
      </w:pPr>
    </w:p>
    <w:p w:rsidR="00397348" w:rsidRDefault="00397348" w:rsidP="006D138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kern w:val="0"/>
          <w:szCs w:val="21"/>
        </w:rPr>
      </w:pPr>
    </w:p>
    <w:p w:rsidR="002D0290" w:rsidRPr="007F4F22" w:rsidRDefault="002D0290" w:rsidP="00404D1E">
      <w:pPr>
        <w:spacing w:line="320" w:lineRule="exact"/>
        <w:rPr>
          <w:rFonts w:ascii="Arial" w:hAnsi="Arial" w:cs="Arial"/>
          <w:b/>
          <w:kern w:val="0"/>
          <w:szCs w:val="21"/>
        </w:rPr>
      </w:pPr>
      <w:r w:rsidRPr="00397348">
        <w:rPr>
          <w:rFonts w:ascii="Arial" w:hAnsi="Arial" w:cs="Arial" w:hint="eastAsia"/>
          <w:b/>
          <w:kern w:val="0"/>
          <w:szCs w:val="21"/>
        </w:rPr>
        <w:t>CAS :</w:t>
      </w:r>
      <w:r w:rsidR="006D138D" w:rsidRPr="007F4F22">
        <w:rPr>
          <w:rFonts w:ascii="Arial" w:hAnsi="Arial" w:cs="Arial" w:hint="eastAsia"/>
          <w:color w:val="222222"/>
          <w:sz w:val="20"/>
          <w:szCs w:val="20"/>
        </w:rPr>
        <w:t xml:space="preserve"> </w:t>
      </w:r>
      <w:hyperlink r:id="rId10" w:history="1">
        <w:r w:rsidR="007F4F22" w:rsidRPr="007F4F22">
          <w:rPr>
            <w:rFonts w:ascii="Arial" w:hAnsi="Arial" w:cs="Arial"/>
            <w:color w:val="222222"/>
            <w:sz w:val="20"/>
            <w:szCs w:val="20"/>
          </w:rPr>
          <w:t>33069-62-4</w:t>
        </w:r>
      </w:hyperlink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>Formula</w:t>
      </w:r>
      <w:r w:rsidRPr="00397348">
        <w:rPr>
          <w:rFonts w:ascii="Arial" w:hAnsi="Arial" w:cs="Arial" w:hint="eastAsia"/>
          <w:b/>
          <w:kern w:val="0"/>
          <w:szCs w:val="21"/>
        </w:rPr>
        <w:t xml:space="preserve"> :</w:t>
      </w:r>
      <w:r w:rsidRPr="00397348">
        <w:rPr>
          <w:rFonts w:ascii="Arial" w:hAnsi="Arial" w:cs="Arial" w:hint="eastAsia"/>
          <w:kern w:val="0"/>
          <w:szCs w:val="21"/>
        </w:rPr>
        <w:t xml:space="preserve"> </w:t>
      </w:r>
      <w:r w:rsidR="007F4F22" w:rsidRPr="007F4F22">
        <w:rPr>
          <w:rFonts w:ascii="Arial" w:hAnsi="Arial" w:cs="Arial"/>
          <w:kern w:val="0"/>
          <w:szCs w:val="21"/>
        </w:rPr>
        <w:t>C47H51NO14</w:t>
      </w:r>
      <w:r w:rsidRPr="00397348">
        <w:rPr>
          <w:rFonts w:ascii="Arial" w:hAnsi="Arial" w:cs="Arial"/>
          <w:kern w:val="0"/>
          <w:szCs w:val="21"/>
        </w:rPr>
        <w:t xml:space="preserve"> </w:t>
      </w:r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>Molecular Weight</w:t>
      </w:r>
      <w:r w:rsidRPr="00397348">
        <w:rPr>
          <w:rFonts w:ascii="Arial" w:hAnsi="Arial" w:cs="Arial" w:hint="eastAsia"/>
          <w:b/>
          <w:kern w:val="0"/>
          <w:szCs w:val="21"/>
        </w:rPr>
        <w:t xml:space="preserve"> :</w:t>
      </w:r>
      <w:r w:rsidRPr="00397348">
        <w:rPr>
          <w:rFonts w:ascii="Arial" w:hAnsi="Arial" w:cs="Arial" w:hint="eastAsia"/>
          <w:kern w:val="0"/>
          <w:szCs w:val="21"/>
        </w:rPr>
        <w:t xml:space="preserve"> </w:t>
      </w:r>
      <w:r w:rsidR="00D96CF7">
        <w:rPr>
          <w:rFonts w:ascii="Arial" w:hAnsi="Arial" w:cs="Arial"/>
          <w:kern w:val="0"/>
          <w:szCs w:val="21"/>
        </w:rPr>
        <w:t>853.9</w:t>
      </w:r>
      <w:r w:rsidR="00D96CF7">
        <w:rPr>
          <w:rFonts w:ascii="Arial" w:hAnsi="Arial" w:cs="Arial" w:hint="eastAsia"/>
          <w:kern w:val="0"/>
          <w:szCs w:val="21"/>
        </w:rPr>
        <w:t>2</w:t>
      </w:r>
    </w:p>
    <w:p w:rsidR="007F4F22" w:rsidRDefault="007F4F22" w:rsidP="00D72B33">
      <w:pPr>
        <w:pStyle w:val="Default"/>
        <w:spacing w:line="320" w:lineRule="exact"/>
        <w:rPr>
          <w:rFonts w:ascii="Verdana" w:hAnsi="Verdana" w:hint="eastAsia"/>
          <w:b/>
          <w:bCs/>
          <w:color w:val="002060"/>
          <w:sz w:val="21"/>
          <w:szCs w:val="21"/>
          <w:shd w:val="clear" w:color="auto" w:fill="FFFFFF"/>
        </w:rPr>
      </w:pPr>
    </w:p>
    <w:p w:rsidR="00397348" w:rsidRPr="00D96CF7" w:rsidRDefault="007F4F22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  <w:r w:rsidRPr="00D96CF7"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  <w:t>Solvent &amp; Solubility</w:t>
      </w:r>
    </w:p>
    <w:p w:rsidR="007F4F22" w:rsidRPr="007F4F22" w:rsidRDefault="007F4F22" w:rsidP="007F4F22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F4F22">
        <w:rPr>
          <w:rFonts w:ascii="Arial" w:hAnsi="Arial" w:cs="Arial"/>
          <w:color w:val="000000" w:themeColor="text1"/>
          <w:sz w:val="21"/>
          <w:szCs w:val="21"/>
        </w:rPr>
        <w:t>DMSO: ≥ 31 mg/mL; H</w:t>
      </w:r>
      <w:r w:rsidRPr="007F4F22">
        <w:rPr>
          <w:rFonts w:ascii="Arial" w:hAnsi="Arial" w:cs="Arial"/>
          <w:color w:val="000000" w:themeColor="text1"/>
          <w:sz w:val="21"/>
          <w:szCs w:val="21"/>
          <w:vertAlign w:val="subscript"/>
        </w:rPr>
        <w:t>2</w:t>
      </w:r>
      <w:r w:rsidRPr="007F4F22">
        <w:rPr>
          <w:rFonts w:ascii="Arial" w:hAnsi="Arial" w:cs="Arial"/>
          <w:color w:val="000000" w:themeColor="text1"/>
          <w:sz w:val="21"/>
          <w:szCs w:val="21"/>
        </w:rPr>
        <w:t>O: &lt; 0.1 mg/mL</w:t>
      </w:r>
    </w:p>
    <w:p w:rsidR="007F4F22" w:rsidRPr="007F4F22" w:rsidRDefault="007F4F22" w:rsidP="007F4F22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F4F22">
        <w:rPr>
          <w:rFonts w:ascii="Arial" w:hAnsi="Arial" w:cs="Arial"/>
          <w:color w:val="000000" w:themeColor="text1"/>
          <w:sz w:val="21"/>
          <w:szCs w:val="21"/>
        </w:rPr>
        <w:t>Paclitaxel is dissolved at 20 mg/mL in DMSO and freshly diluted (1:1-1:200) as a suspension with PBS.</w:t>
      </w:r>
      <w:r w:rsidRPr="007F4F22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7F4F22">
        <w:rPr>
          <w:rFonts w:ascii="Arial" w:hAnsi="Arial" w:cs="Arial"/>
          <w:color w:val="000000" w:themeColor="text1"/>
          <w:sz w:val="21"/>
          <w:szCs w:val="21"/>
        </w:rPr>
        <w:br/>
        <w:t xml:space="preserve">Paclitaxel is dissolved in DMSO, aliquoted and stored at -80°C until further use. </w:t>
      </w:r>
    </w:p>
    <w:p w:rsidR="007F4F22" w:rsidRPr="007F4F22" w:rsidRDefault="007F4F22" w:rsidP="00D72B33">
      <w:pPr>
        <w:pStyle w:val="Default"/>
        <w:spacing w:line="320" w:lineRule="exact"/>
        <w:rPr>
          <w:rFonts w:hint="eastAsia"/>
          <w:b/>
          <w:bCs/>
          <w:color w:val="6A4B92"/>
          <w:sz w:val="21"/>
          <w:szCs w:val="21"/>
          <w:shd w:val="clear" w:color="auto" w:fill="FFFFFF"/>
        </w:rPr>
      </w:pPr>
    </w:p>
    <w:p w:rsidR="007F4F22" w:rsidRDefault="007F4F22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</w:p>
    <w:p w:rsidR="00D72B33" w:rsidRPr="00397348" w:rsidRDefault="00D72B33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  <w:r w:rsidRPr="00397348"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  <w:t>Biochem/physiol Actions</w:t>
      </w:r>
    </w:p>
    <w:p w:rsidR="00D72B33" w:rsidRPr="00397348" w:rsidRDefault="007F4F22" w:rsidP="00DA4881">
      <w:pPr>
        <w:pStyle w:val="Default"/>
        <w:spacing w:line="320" w:lineRule="exact"/>
        <w:jc w:val="both"/>
        <w:rPr>
          <w:color w:val="auto"/>
          <w:sz w:val="21"/>
          <w:szCs w:val="21"/>
        </w:rPr>
      </w:pPr>
      <w:r w:rsidRPr="007F4F22">
        <w:rPr>
          <w:color w:val="auto"/>
          <w:sz w:val="21"/>
          <w:szCs w:val="21"/>
        </w:rPr>
        <w:t>Paclitaxel is a potent anticancer agent known to promote microtubule (MT) assembly, inhibit MT depolymerization, and change MT dynamics required for mitosis and cell proliferation.</w:t>
      </w:r>
    </w:p>
    <w:p w:rsidR="00D72B33" w:rsidRPr="00397348" w:rsidRDefault="00D72B33" w:rsidP="00D72B33">
      <w:pPr>
        <w:pStyle w:val="Default"/>
        <w:spacing w:line="320" w:lineRule="exact"/>
        <w:rPr>
          <w:color w:val="auto"/>
          <w:sz w:val="21"/>
          <w:szCs w:val="21"/>
        </w:rPr>
      </w:pPr>
    </w:p>
    <w:p w:rsidR="00D72B33" w:rsidRPr="00397348" w:rsidRDefault="00D72B33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  <w:r w:rsidRPr="00397348"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  <w:t>Storage condition</w:t>
      </w:r>
    </w:p>
    <w:p w:rsidR="00D72B33" w:rsidRPr="00397348" w:rsidRDefault="006D138D" w:rsidP="00D72B33">
      <w:pPr>
        <w:widowControl/>
        <w:shd w:val="clear" w:color="auto" w:fill="FFFFFF"/>
        <w:jc w:val="lef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 w:hint="eastAsia"/>
          <w:kern w:val="0"/>
          <w:szCs w:val="21"/>
        </w:rPr>
        <w:t>2-8</w:t>
      </w:r>
      <w:r w:rsidR="00D72B33" w:rsidRPr="00397348">
        <w:rPr>
          <w:rFonts w:ascii="Arial" w:hAnsi="Arial" w:cs="Arial"/>
          <w:kern w:val="0"/>
          <w:szCs w:val="21"/>
        </w:rPr>
        <w:t xml:space="preserve"> ºC</w:t>
      </w:r>
    </w:p>
    <w:p w:rsidR="00D72B33" w:rsidRPr="00D72B33" w:rsidRDefault="00D72B33" w:rsidP="00D72B33">
      <w:pPr>
        <w:widowControl/>
        <w:shd w:val="clear" w:color="auto" w:fill="FFFFFF"/>
        <w:jc w:val="left"/>
        <w:rPr>
          <w:rFonts w:ascii="Arial" w:hAnsi="Arial" w:cs="Arial"/>
          <w:kern w:val="0"/>
          <w:sz w:val="18"/>
          <w:szCs w:val="18"/>
        </w:rPr>
      </w:pPr>
    </w:p>
    <w:p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r w:rsidRPr="0041783B">
        <w:rPr>
          <w:b/>
          <w:i/>
          <w:sz w:val="21"/>
          <w:szCs w:val="21"/>
          <w:shd w:val="clear" w:color="auto" w:fill="FFFFFF"/>
        </w:rPr>
        <w:t>For Research Use Only. Not For Use In Diagnostic Procedures.</w:t>
      </w:r>
    </w:p>
    <w:sectPr w:rsidR="0041783B" w:rsidRPr="0041783B" w:rsidSect="00036E40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3A" w:rsidRDefault="00C3123A" w:rsidP="0065435B">
      <w:r>
        <w:separator/>
      </w:r>
    </w:p>
  </w:endnote>
  <w:endnote w:type="continuationSeparator" w:id="1">
    <w:p w:rsidR="00C3123A" w:rsidRDefault="00C3123A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r w:rsidRPr="00036E40">
      <w:rPr>
        <w:rFonts w:ascii="Arial" w:hAnsi="Arial" w:cs="Arial"/>
        <w:b/>
      </w:rPr>
      <w:t xml:space="preserve">MesGen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3A" w:rsidRDefault="00C3123A" w:rsidP="0065435B">
      <w:r>
        <w:separator/>
      </w:r>
    </w:p>
  </w:footnote>
  <w:footnote w:type="continuationSeparator" w:id="1">
    <w:p w:rsidR="00C3123A" w:rsidRDefault="00C3123A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E1B09"/>
    <w:rsid w:val="002611E4"/>
    <w:rsid w:val="0028529B"/>
    <w:rsid w:val="002B464F"/>
    <w:rsid w:val="002D0290"/>
    <w:rsid w:val="002D5E46"/>
    <w:rsid w:val="00311F60"/>
    <w:rsid w:val="00340713"/>
    <w:rsid w:val="0036263A"/>
    <w:rsid w:val="00371A2F"/>
    <w:rsid w:val="0038799B"/>
    <w:rsid w:val="00397348"/>
    <w:rsid w:val="003A58DA"/>
    <w:rsid w:val="00404D1E"/>
    <w:rsid w:val="004169FA"/>
    <w:rsid w:val="0041783B"/>
    <w:rsid w:val="00453FF7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40CA"/>
    <w:rsid w:val="00667AB6"/>
    <w:rsid w:val="00690FB9"/>
    <w:rsid w:val="00695F96"/>
    <w:rsid w:val="006A0154"/>
    <w:rsid w:val="006C3203"/>
    <w:rsid w:val="006D138D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7F4F22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BA21D5"/>
    <w:rsid w:val="00BC63B3"/>
    <w:rsid w:val="00BE485C"/>
    <w:rsid w:val="00C3123A"/>
    <w:rsid w:val="00C37C0A"/>
    <w:rsid w:val="00C47EBC"/>
    <w:rsid w:val="00C51F22"/>
    <w:rsid w:val="00C6161A"/>
    <w:rsid w:val="00CA656E"/>
    <w:rsid w:val="00CD3F8A"/>
    <w:rsid w:val="00CD6CD3"/>
    <w:rsid w:val="00D44E0B"/>
    <w:rsid w:val="00D45EF4"/>
    <w:rsid w:val="00D643F9"/>
    <w:rsid w:val="00D72B33"/>
    <w:rsid w:val="00D77AE7"/>
    <w:rsid w:val="00D96CF7"/>
    <w:rsid w:val="00DA4881"/>
    <w:rsid w:val="00DB72C4"/>
    <w:rsid w:val="00DB7A57"/>
    <w:rsid w:val="00DE2BC7"/>
    <w:rsid w:val="00DF102E"/>
    <w:rsid w:val="00DF1928"/>
    <w:rsid w:val="00DF1E19"/>
    <w:rsid w:val="00DF27D0"/>
    <w:rsid w:val="00E76797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7F4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micalbook.com/CAS_33069-62-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Links>
    <vt:vector size="12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http://www.chemicalbook.com/CAS_33069-62-4.htm</vt:lpwstr>
      </vt:variant>
      <vt:variant>
        <vt:lpwstr/>
      </vt:variant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http://www.mesgenbio.com/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</cp:revision>
  <cp:lastPrinted>2017-10-27T13:19:00Z</cp:lastPrinted>
  <dcterms:created xsi:type="dcterms:W3CDTF">2017-11-14T13:15:00Z</dcterms:created>
  <dcterms:modified xsi:type="dcterms:W3CDTF">2017-11-14T13:16:00Z</dcterms:modified>
</cp:coreProperties>
</file>