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ED7F6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38pt;height:39.55pt;z-index:251660288;mso-width-relative:margin;mso-height-relative:margin" fillcolor="#0f243e [1615]" strokecolor="black [3213]" strokeweight="1.5pt">
            <v:textbox style="mso-next-textbox:#_x0000_s2050">
              <w:txbxContent>
                <w:p w:rsidR="005D4CF8" w:rsidRPr="00D01E9E" w:rsidRDefault="00AB1D01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HYb2gj" w:hAnsi="Calibri" w:cs="Calibri"/>
                      <w:kern w:val="0"/>
                      <w:sz w:val="28"/>
                      <w:szCs w:val="28"/>
                    </w:rPr>
                  </w:pPr>
                  <w:r>
                    <w:rPr>
                      <w:rFonts w:ascii="Verdana" w:eastAsia="微软雅黑" w:hAnsi="Verdana" w:cs="Calibri" w:hint="eastAsia"/>
                      <w:b/>
                      <w:color w:val="FFFFFF" w:themeColor="background1"/>
                      <w:kern w:val="0"/>
                      <w:sz w:val="30"/>
                      <w:szCs w:val="30"/>
                    </w:rPr>
                    <w:t>S</w:t>
                  </w:r>
                  <w:r>
                    <w:rPr>
                      <w:rFonts w:ascii="Verdana" w:eastAsia="微软雅黑" w:hAnsi="Verdana" w:cs="Calibri"/>
                      <w:b/>
                      <w:color w:val="FFFFFF" w:themeColor="background1"/>
                      <w:kern w:val="0"/>
                      <w:sz w:val="30"/>
                      <w:szCs w:val="30"/>
                    </w:rPr>
                    <w:t>ephadex-</w:t>
                  </w:r>
                  <w:r>
                    <w:rPr>
                      <w:rFonts w:ascii="Verdana" w:eastAsia="微软雅黑" w:hAnsi="Verdana" w:cs="Calibri" w:hint="eastAsia"/>
                      <w:b/>
                      <w:color w:val="FFFFFF" w:themeColor="background1"/>
                      <w:kern w:val="0"/>
                      <w:sz w:val="30"/>
                      <w:szCs w:val="30"/>
                    </w:rPr>
                    <w:t>G</w:t>
                  </w:r>
                  <w:r w:rsidRPr="00AB1D01">
                    <w:rPr>
                      <w:rFonts w:ascii="Verdana" w:eastAsia="微软雅黑" w:hAnsi="Verdana" w:cs="Calibri"/>
                      <w:b/>
                      <w:color w:val="FFFFFF" w:themeColor="background1"/>
                      <w:kern w:val="0"/>
                      <w:sz w:val="30"/>
                      <w:szCs w:val="30"/>
                    </w:rPr>
                    <w:t>25</w:t>
                  </w:r>
                  <w:r w:rsidR="005D4CF8" w:rsidRPr="00D01E9E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D01E9E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                   </w:t>
                  </w:r>
                  <w:r w:rsidR="00C24876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eastAsia="微软雅黑" w:hAnsi="Verdana" w:cs="Calibri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MGP0025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AB1D01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10.5pt;height:42.75pt;z-index:251661312;mso-width-relative:margin;mso-height-relative:margin" fillcolor="#0f243e [1615]" strokecolor="black [3213]" strokeweight="1.5pt">
            <v:textbox style="mso-next-textbox:#_x0000_s2051">
              <w:txbxContent>
                <w:p w:rsidR="00695F96" w:rsidRPr="00D01E9E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Verdana" w:eastAsia="Meiryo" w:hAnsi="Verdana" w:cs="Calibri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echnical literature is available at: </w:t>
                  </w:r>
                  <w:hyperlink r:id="rId7" w:history="1">
                    <w:r w:rsidRPr="00D01E9E">
                      <w:rPr>
                        <w:rStyle w:val="a9"/>
                        <w:rFonts w:ascii="Verdana" w:eastAsia="GeorgiaPro-CondSemiBold" w:hAnsi="Verdana" w:cs="Calibri"/>
                        <w:b/>
                        <w:bCs/>
                        <w:color w:val="FFFFFF" w:themeColor="background1"/>
                        <w:kern w:val="0"/>
                        <w:sz w:val="15"/>
                        <w:szCs w:val="15"/>
                      </w:rPr>
                      <w:t>www.mesgenbio.com</w:t>
                    </w:r>
                  </w:hyperlink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.  E-mail MesGen Technical Services if you have questions on use of this system: </w:t>
                  </w:r>
                  <w:r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ech@mesgenbio.com</w:t>
                  </w:r>
                </w:p>
              </w:txbxContent>
            </v:textbox>
          </v:shape>
        </w:pict>
      </w: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123190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B1D01" w:rsidRPr="00AB1D01" w:rsidRDefault="00AB1D01" w:rsidP="00AB1D01">
      <w:pPr>
        <w:widowControl/>
        <w:numPr>
          <w:ilvl w:val="0"/>
          <w:numId w:val="14"/>
        </w:numPr>
        <w:adjustRightInd w:val="0"/>
        <w:snapToGrid w:val="0"/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AB1D01">
        <w:rPr>
          <w:rFonts w:ascii="微软雅黑" w:eastAsia="微软雅黑" w:hAnsi="微软雅黑" w:hint="eastAsia"/>
          <w:b/>
          <w:sz w:val="18"/>
          <w:szCs w:val="18"/>
        </w:rPr>
        <w:t>产品介绍</w:t>
      </w:r>
    </w:p>
    <w:p w:rsidR="00AB1D01" w:rsidRPr="00AB1D01" w:rsidRDefault="00AB1D01" w:rsidP="00AB1D01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bookmarkStart w:id="0" w:name="OLE_LINK34"/>
      <w:r w:rsidRPr="00AB1D01">
        <w:rPr>
          <w:rFonts w:ascii="Arial" w:hAnsi="Arial" w:cs="Arial"/>
          <w:color w:val="333333"/>
          <w:sz w:val="18"/>
          <w:szCs w:val="18"/>
        </w:rPr>
        <w:t>葡</w:t>
      </w:r>
      <w:r w:rsidRPr="00AB1D01">
        <w:rPr>
          <w:rFonts w:ascii="微软雅黑" w:eastAsia="微软雅黑" w:hAnsi="微软雅黑"/>
          <w:sz w:val="18"/>
          <w:szCs w:val="18"/>
        </w:rPr>
        <w:t>聚糖凝胶</w:t>
      </w:r>
      <w:r w:rsidRPr="00AB1D01">
        <w:rPr>
          <w:rFonts w:ascii="微软雅黑" w:eastAsia="微软雅黑" w:hAnsi="微软雅黑" w:hint="eastAsia"/>
          <w:sz w:val="18"/>
          <w:szCs w:val="18"/>
        </w:rPr>
        <w:t>G-25（中等</w:t>
      </w:r>
      <w:bookmarkEnd w:id="0"/>
      <w:r w:rsidRPr="00AB1D01">
        <w:rPr>
          <w:rFonts w:ascii="微软雅黑" w:eastAsia="微软雅黑" w:hAnsi="微软雅黑" w:hint="eastAsia"/>
          <w:sz w:val="18"/>
          <w:szCs w:val="18"/>
        </w:rPr>
        <w:t>）是根据介质的交联程度不同，溶胀后的粒径和孔径的大小而对不同分子量生物分子进行分离纯化，主要用于样品的脱盐、缓冲液置换及小分子杂质去除。</w:t>
      </w:r>
    </w:p>
    <w:p w:rsidR="00AB1D01" w:rsidRPr="00AB1D01" w:rsidRDefault="00AB1D01" w:rsidP="00AB1D01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AB1D01">
        <w:rPr>
          <w:rFonts w:ascii="微软雅黑" w:eastAsia="微软雅黑" w:hAnsi="微软雅黑" w:hint="eastAsia"/>
          <w:sz w:val="18"/>
          <w:szCs w:val="18"/>
        </w:rPr>
        <w:t>特点如下：</w:t>
      </w:r>
    </w:p>
    <w:p w:rsidR="00AB1D01" w:rsidRPr="00AB1D01" w:rsidRDefault="00AB1D01" w:rsidP="00AB1D01">
      <w:pPr>
        <w:widowControl/>
        <w:numPr>
          <w:ilvl w:val="0"/>
          <w:numId w:val="15"/>
        </w:numPr>
        <w:adjustRightInd w:val="0"/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AB1D01">
        <w:rPr>
          <w:rFonts w:ascii="微软雅黑" w:eastAsia="微软雅黑" w:hAnsi="微软雅黑" w:hint="eastAsia"/>
          <w:sz w:val="18"/>
          <w:szCs w:val="18"/>
        </w:rPr>
        <w:t xml:space="preserve"> 操作简便（既可以与注射器或泵连接，也可以以重力柱的方式进行）、迅速（5-25min内即可完成）。</w:t>
      </w:r>
    </w:p>
    <w:p w:rsidR="00AB1D01" w:rsidRPr="00AB1D01" w:rsidRDefault="00AB1D01" w:rsidP="00AB1D01">
      <w:pPr>
        <w:widowControl/>
        <w:numPr>
          <w:ilvl w:val="0"/>
          <w:numId w:val="15"/>
        </w:numPr>
        <w:adjustRightInd w:val="0"/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AB1D01">
        <w:rPr>
          <w:rFonts w:ascii="微软雅黑" w:eastAsia="微软雅黑" w:hAnsi="微软雅黑" w:hint="eastAsia"/>
          <w:sz w:val="18"/>
          <w:szCs w:val="18"/>
        </w:rPr>
        <w:t xml:space="preserve"> 效果显著</w:t>
      </w:r>
      <w:r w:rsidRPr="00AB1D01">
        <w:rPr>
          <w:rFonts w:ascii="微软雅黑" w:eastAsia="微软雅黑" w:hAnsi="微软雅黑" w:hint="eastAsia"/>
          <w:color w:val="000000"/>
          <w:sz w:val="18"/>
          <w:szCs w:val="18"/>
        </w:rPr>
        <w:t>（脱盐率&gt;98%）</w:t>
      </w:r>
      <w:r w:rsidRPr="00AB1D01">
        <w:rPr>
          <w:rFonts w:ascii="微软雅黑" w:eastAsia="微软雅黑" w:hAnsi="微软雅黑" w:hint="eastAsia"/>
          <w:sz w:val="18"/>
          <w:szCs w:val="18"/>
        </w:rPr>
        <w:t>。</w:t>
      </w:r>
    </w:p>
    <w:p w:rsidR="00AB1D01" w:rsidRPr="00AB1D01" w:rsidRDefault="00AB1D01" w:rsidP="00AB1D01">
      <w:pPr>
        <w:widowControl/>
        <w:numPr>
          <w:ilvl w:val="0"/>
          <w:numId w:val="15"/>
        </w:numPr>
        <w:adjustRightInd w:val="0"/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AB1D01">
        <w:rPr>
          <w:rFonts w:ascii="微软雅黑" w:eastAsia="微软雅黑" w:hAnsi="微软雅黑" w:hint="eastAsia"/>
          <w:sz w:val="18"/>
          <w:szCs w:val="18"/>
        </w:rPr>
        <w:t xml:space="preserve"> 回收率高</w:t>
      </w:r>
      <w:r w:rsidRPr="00AB1D01">
        <w:rPr>
          <w:rFonts w:ascii="微软雅黑" w:eastAsia="微软雅黑" w:hAnsi="微软雅黑" w:hint="eastAsia"/>
          <w:color w:val="000000"/>
          <w:sz w:val="18"/>
          <w:szCs w:val="18"/>
        </w:rPr>
        <w:t>（蛋白回收率</w:t>
      </w:r>
      <w:r w:rsidRPr="00AB1D01">
        <w:rPr>
          <w:rFonts w:ascii="微软雅黑" w:eastAsia="微软雅黑" w:hAnsi="微软雅黑"/>
          <w:color w:val="000000"/>
          <w:sz w:val="18"/>
          <w:szCs w:val="18"/>
        </w:rPr>
        <w:t>≥</w:t>
      </w:r>
      <w:r w:rsidRPr="00AB1D01">
        <w:rPr>
          <w:rFonts w:ascii="微软雅黑" w:eastAsia="微软雅黑" w:hAnsi="微软雅黑" w:hint="eastAsia"/>
          <w:color w:val="000000"/>
          <w:sz w:val="18"/>
          <w:szCs w:val="18"/>
        </w:rPr>
        <w:t>85%-95%）</w:t>
      </w:r>
      <w:r w:rsidRPr="00AB1D01">
        <w:rPr>
          <w:rFonts w:ascii="微软雅黑" w:eastAsia="微软雅黑" w:hAnsi="微软雅黑" w:hint="eastAsia"/>
          <w:sz w:val="18"/>
          <w:szCs w:val="18"/>
        </w:rPr>
        <w:t>。</w:t>
      </w:r>
    </w:p>
    <w:p w:rsidR="00AB1D01" w:rsidRPr="00AB1D01" w:rsidRDefault="00AB1D01" w:rsidP="00AB1D01">
      <w:pPr>
        <w:widowControl/>
        <w:numPr>
          <w:ilvl w:val="0"/>
          <w:numId w:val="15"/>
        </w:numPr>
        <w:adjustRightInd w:val="0"/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AB1D01">
        <w:rPr>
          <w:rFonts w:ascii="微软雅黑" w:eastAsia="微软雅黑" w:hAnsi="微软雅黑" w:hint="eastAsia"/>
          <w:sz w:val="18"/>
          <w:szCs w:val="18"/>
        </w:rPr>
        <w:t xml:space="preserve"> 易于放大（可以根据需求进行多个串联及其它大规格层析柱的装填）。</w:t>
      </w:r>
    </w:p>
    <w:p w:rsidR="00AB1D01" w:rsidRPr="00D91C9E" w:rsidRDefault="00AB1D01" w:rsidP="00AB1D01">
      <w:pPr>
        <w:pStyle w:val="Default"/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</w:rPr>
        <w:t>表1：介质性能参数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646"/>
      </w:tblGrid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基质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葡聚糖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干粉粒径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bookmarkStart w:id="1" w:name="OLE_LINK111"/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45-165</w:t>
            </w:r>
            <w:bookmarkStart w:id="2" w:name="OLE_LINK1"/>
            <w:r w:rsidRPr="00D91C9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µm</w:t>
            </w:r>
            <w:bookmarkEnd w:id="1"/>
            <w:bookmarkEnd w:id="2"/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湿胶粒径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100-300</w:t>
            </w:r>
            <w:r w:rsidRPr="00D91C9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µm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溶胀度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4-6ml/g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排阻上限（Mr）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</w:t>
            </w:r>
            <w:r w:rsidRPr="00D91C9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×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球蛋白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bookmarkStart w:id="3" w:name="OLE_LINK23"/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pH</w:t>
            </w:r>
            <w:bookmarkEnd w:id="3"/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稳定性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  <w:r w:rsidRPr="00D91C9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-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外水体积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30</w:t>
            </w:r>
            <w:bookmarkStart w:id="4" w:name="OLE_LINK3"/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%</w:t>
            </w:r>
            <w:bookmarkEnd w:id="4"/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CV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样品加载体积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5%-30%CV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化学稳定性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所有常用的缓冲液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流速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  <w:bookmarkStart w:id="5" w:name="OLE_LINK2"/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ml/min</w:t>
            </w:r>
            <w:bookmarkEnd w:id="5"/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-15ml/min（以HT 5ml为例）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操作压力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≤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0.3MPa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贮存溶液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20%乙醇（溶胀后介质）</w:t>
            </w:r>
          </w:p>
        </w:tc>
      </w:tr>
      <w:tr w:rsidR="00AB1D01" w:rsidRPr="00D91C9E" w:rsidTr="00AB1D01">
        <w:trPr>
          <w:trHeight w:val="295"/>
        </w:trPr>
        <w:tc>
          <w:tcPr>
            <w:tcW w:w="2127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贮存温度</w:t>
            </w:r>
          </w:p>
        </w:tc>
        <w:tc>
          <w:tcPr>
            <w:tcW w:w="8646" w:type="dxa"/>
            <w:vAlign w:val="center"/>
          </w:tcPr>
          <w:p w:rsidR="00AB1D01" w:rsidRPr="00D91C9E" w:rsidRDefault="00AB1D01" w:rsidP="00AB1D01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bookmarkStart w:id="6" w:name="OLE_LINK7"/>
            <w:r w:rsidRPr="00D91C9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</w:t>
            </w:r>
            <w:r w:rsidRPr="00D91C9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-30</w:t>
            </w:r>
            <w:r w:rsidRPr="00D91C9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℃</w:t>
            </w:r>
            <w:bookmarkEnd w:id="6"/>
          </w:p>
        </w:tc>
      </w:tr>
    </w:tbl>
    <w:p w:rsidR="00AB1D01" w:rsidRPr="00AB1D01" w:rsidRDefault="00AB1D01" w:rsidP="00AB1D01">
      <w:pPr>
        <w:tabs>
          <w:tab w:val="left" w:pos="540"/>
        </w:tabs>
        <w:spacing w:line="320" w:lineRule="exact"/>
        <w:rPr>
          <w:rFonts w:ascii="微软雅黑" w:eastAsia="微软雅黑" w:hAnsi="微软雅黑"/>
          <w:b/>
          <w:szCs w:val="21"/>
        </w:rPr>
      </w:pPr>
    </w:p>
    <w:p w:rsidR="00AB1D01" w:rsidRPr="00D91C9E" w:rsidRDefault="00AB1D01" w:rsidP="00AB1D01">
      <w:pPr>
        <w:widowControl/>
        <w:numPr>
          <w:ilvl w:val="0"/>
          <w:numId w:val="14"/>
        </w:numPr>
        <w:adjustRightInd w:val="0"/>
        <w:snapToGrid w:val="0"/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</w:rPr>
        <w:t>使用</w:t>
      </w:r>
      <w:bookmarkStart w:id="7" w:name="OLE_LINK21"/>
      <w:r w:rsidRPr="00D91C9E">
        <w:rPr>
          <w:rFonts w:ascii="微软雅黑" w:eastAsia="微软雅黑" w:hAnsi="微软雅黑" w:hint="eastAsia"/>
          <w:b/>
          <w:sz w:val="18"/>
          <w:szCs w:val="18"/>
        </w:rPr>
        <w:t>（</w:t>
      </w:r>
      <w:bookmarkStart w:id="8" w:name="OLE_LINK39"/>
      <w:r w:rsidRPr="00D91C9E">
        <w:rPr>
          <w:rFonts w:ascii="微软雅黑" w:eastAsia="微软雅黑" w:hAnsi="微软雅黑" w:hint="eastAsia"/>
          <w:b/>
          <w:sz w:val="18"/>
          <w:szCs w:val="18"/>
        </w:rPr>
        <w:t xml:space="preserve">以HT </w:t>
      </w:r>
      <w:bookmarkEnd w:id="8"/>
      <w:r w:rsidRPr="00D91C9E">
        <w:rPr>
          <w:rFonts w:ascii="微软雅黑" w:eastAsia="微软雅黑" w:hAnsi="微软雅黑" w:hint="eastAsia"/>
          <w:b/>
          <w:sz w:val="18"/>
          <w:szCs w:val="18"/>
        </w:rPr>
        <w:t>5ml为例，具体使用效果见案例一）</w:t>
      </w:r>
      <w:bookmarkStart w:id="9" w:name="OLE_LINK22"/>
      <w:bookmarkStart w:id="10" w:name="OLE_LINK5"/>
      <w:bookmarkEnd w:id="7"/>
    </w:p>
    <w:p w:rsidR="00AB1D01" w:rsidRPr="00D91C9E" w:rsidRDefault="00D91C9E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>
        <w:rPr>
          <w:rFonts w:ascii="微软雅黑" w:eastAsia="微软雅黑" w:hAnsi="微软雅黑" w:cs="宋体" w:hint="eastAsia"/>
          <w:sz w:val="18"/>
          <w:szCs w:val="18"/>
        </w:rPr>
        <w:t>说明：</w:t>
      </w:r>
      <w:r w:rsidR="00AB1D01" w:rsidRPr="00D91C9E">
        <w:rPr>
          <w:rFonts w:ascii="微软雅黑" w:eastAsia="微软雅黑" w:hAnsi="微软雅黑" w:cs="宋体" w:hint="eastAsia"/>
          <w:sz w:val="18"/>
          <w:szCs w:val="18"/>
        </w:rPr>
        <w:t>此产品以干粉形式保存和发货，称取适量干粉用8-10倍干粉体积的纯化水溶胀过夜（或沸水溶胀1h以上），装柱后即可使用。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a.</w:t>
      </w:r>
      <w:bookmarkEnd w:id="9"/>
      <w:r w:rsidRPr="00D91C9E">
        <w:rPr>
          <w:rFonts w:ascii="微软雅黑" w:eastAsia="微软雅黑" w:hAnsi="微软雅黑" w:cs="宋体" w:hint="eastAsia"/>
          <w:sz w:val="18"/>
          <w:szCs w:val="18"/>
        </w:rPr>
        <w:t>水洗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bookmarkStart w:id="11" w:name="OLE_LINK8"/>
      <w:bookmarkStart w:id="12" w:name="OLE_LINK13"/>
      <w:bookmarkStart w:id="13" w:name="OLE_LINK15"/>
      <w:r w:rsidRPr="00D91C9E">
        <w:rPr>
          <w:rFonts w:ascii="微软雅黑" w:eastAsia="微软雅黑" w:hAnsi="微软雅黑" w:cs="宋体" w:hint="eastAsia"/>
          <w:sz w:val="18"/>
          <w:szCs w:val="18"/>
        </w:rPr>
        <w:t>用2-5CV纯化水</w:t>
      </w:r>
      <w:bookmarkStart w:id="14" w:name="OLE_LINK55"/>
      <w:r w:rsidRPr="00D91C9E">
        <w:rPr>
          <w:rFonts w:ascii="微软雅黑" w:eastAsia="微软雅黑" w:hAnsi="微软雅黑" w:cs="宋体" w:hint="eastAsia"/>
          <w:sz w:val="18"/>
          <w:szCs w:val="18"/>
        </w:rPr>
        <w:t>以1.0-10.0ml/min</w:t>
      </w:r>
      <w:bookmarkEnd w:id="14"/>
      <w:r w:rsidRPr="00D91C9E">
        <w:rPr>
          <w:rFonts w:ascii="微软雅黑" w:eastAsia="微软雅黑" w:hAnsi="微软雅黑" w:cs="宋体" w:hint="eastAsia"/>
          <w:sz w:val="18"/>
          <w:szCs w:val="18"/>
        </w:rPr>
        <w:t>清洗介质</w:t>
      </w:r>
      <w:bookmarkEnd w:id="11"/>
      <w:r w:rsidRPr="00D91C9E">
        <w:rPr>
          <w:rFonts w:ascii="微软雅黑" w:eastAsia="微软雅黑" w:hAnsi="微软雅黑" w:cs="宋体" w:hint="eastAsia"/>
          <w:sz w:val="18"/>
          <w:szCs w:val="18"/>
        </w:rPr>
        <w:t>。</w:t>
      </w:r>
      <w:bookmarkEnd w:id="12"/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bookmarkStart w:id="15" w:name="OLE_LINK70"/>
      <w:bookmarkStart w:id="16" w:name="OLE_LINK74"/>
      <w:bookmarkStart w:id="17" w:name="OLE_LINK9"/>
      <w:r w:rsidRPr="00D91C9E">
        <w:rPr>
          <w:rFonts w:ascii="微软雅黑" w:eastAsia="微软雅黑" w:hAnsi="微软雅黑" w:cs="宋体" w:hint="eastAsia"/>
          <w:sz w:val="18"/>
          <w:szCs w:val="18"/>
        </w:rPr>
        <w:t>备注：</w:t>
      </w:r>
      <w:bookmarkEnd w:id="15"/>
      <w:r w:rsidRPr="00D91C9E">
        <w:rPr>
          <w:rFonts w:ascii="微软雅黑" w:eastAsia="微软雅黑" w:hAnsi="微软雅黑" w:cs="宋体" w:hint="eastAsia"/>
          <w:sz w:val="18"/>
          <w:szCs w:val="18"/>
        </w:rPr>
        <w:t>此步骤用清洗（第一次使用）或去除介质中20%乙醇（重复使用）。</w:t>
      </w:r>
      <w:bookmarkEnd w:id="16"/>
    </w:p>
    <w:bookmarkEnd w:id="10"/>
    <w:bookmarkEnd w:id="13"/>
    <w:bookmarkEnd w:id="17"/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b.平衡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bookmarkStart w:id="18" w:name="OLE_LINK24"/>
      <w:r w:rsidRPr="00D91C9E">
        <w:rPr>
          <w:rFonts w:ascii="微软雅黑" w:eastAsia="微软雅黑" w:hAnsi="微软雅黑" w:cs="宋体" w:hint="eastAsia"/>
          <w:sz w:val="18"/>
          <w:szCs w:val="18"/>
        </w:rPr>
        <w:t>用2-5CV</w:t>
      </w:r>
      <w:bookmarkStart w:id="19" w:name="OLE_LINK60"/>
      <w:r w:rsidRPr="00D91C9E">
        <w:rPr>
          <w:rFonts w:ascii="微软雅黑" w:eastAsia="微软雅黑" w:hAnsi="微软雅黑" w:cs="宋体" w:hint="eastAsia"/>
          <w:sz w:val="18"/>
          <w:szCs w:val="18"/>
        </w:rPr>
        <w:t>平衡液以</w:t>
      </w:r>
      <w:bookmarkStart w:id="20" w:name="OLE_LINK10"/>
      <w:r w:rsidRPr="00D91C9E">
        <w:rPr>
          <w:rFonts w:ascii="微软雅黑" w:eastAsia="微软雅黑" w:hAnsi="微软雅黑" w:cs="宋体" w:hint="eastAsia"/>
          <w:sz w:val="18"/>
          <w:szCs w:val="18"/>
        </w:rPr>
        <w:t>1.0-10.0ml/min</w:t>
      </w:r>
      <w:bookmarkEnd w:id="20"/>
      <w:r w:rsidRPr="00D91C9E">
        <w:rPr>
          <w:rFonts w:ascii="微软雅黑" w:eastAsia="微软雅黑" w:hAnsi="微软雅黑" w:cs="宋体" w:hint="eastAsia"/>
          <w:sz w:val="18"/>
          <w:szCs w:val="18"/>
        </w:rPr>
        <w:t>平衡介质</w:t>
      </w:r>
      <w:bookmarkEnd w:id="19"/>
      <w:r w:rsidRPr="00D91C9E">
        <w:rPr>
          <w:rFonts w:ascii="微软雅黑" w:eastAsia="微软雅黑" w:hAnsi="微软雅黑" w:cs="宋体" w:hint="eastAsia"/>
          <w:sz w:val="18"/>
          <w:szCs w:val="18"/>
        </w:rPr>
        <w:t>。</w:t>
      </w:r>
    </w:p>
    <w:bookmarkEnd w:id="18"/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备注：此步骤用于平衡介质，保证介质中充满平衡液。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c.上样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样本经过离心、过滤（0.45um）后以1.0-10.0ml/min进行上样。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备注：样品必须经过离心、过滤处理，上样体积为0.25-1.5ml。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21" w:name="OLE_LINK11"/>
      <w:r w:rsidRPr="00D91C9E">
        <w:rPr>
          <w:rFonts w:ascii="微软雅黑" w:eastAsia="微软雅黑" w:hAnsi="微软雅黑" w:cs="宋体" w:hint="eastAsia"/>
          <w:sz w:val="18"/>
          <w:szCs w:val="18"/>
        </w:rPr>
        <w:t>d.洗脱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用2-5CV洗脱液以1.0-10.0ml/min进行洗脱，并收集洗脱液。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bookmarkStart w:id="22" w:name="OLE_LINK76"/>
      <w:bookmarkStart w:id="23" w:name="OLE_LINK78"/>
      <w:r w:rsidRPr="00D91C9E">
        <w:rPr>
          <w:rFonts w:ascii="微软雅黑" w:eastAsia="微软雅黑" w:hAnsi="微软雅黑" w:cs="宋体" w:hint="eastAsia"/>
          <w:sz w:val="18"/>
          <w:szCs w:val="18"/>
        </w:rPr>
        <w:t>备注：选择合适的收集时间段，收集时间段的选择对回收率和脱盐率有一定的影响。</w:t>
      </w:r>
      <w:bookmarkEnd w:id="22"/>
    </w:p>
    <w:bookmarkEnd w:id="21"/>
    <w:bookmarkEnd w:id="23"/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e.水洗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用</w:t>
      </w:r>
      <w:bookmarkStart w:id="24" w:name="OLE_LINK12"/>
      <w:r w:rsidRPr="00D91C9E">
        <w:rPr>
          <w:rFonts w:ascii="微软雅黑" w:eastAsia="微软雅黑" w:hAnsi="微软雅黑" w:cs="宋体" w:hint="eastAsia"/>
          <w:sz w:val="18"/>
          <w:szCs w:val="18"/>
        </w:rPr>
        <w:t>2-5CV</w:t>
      </w:r>
      <w:bookmarkEnd w:id="24"/>
      <w:r w:rsidRPr="00D91C9E">
        <w:rPr>
          <w:rFonts w:ascii="微软雅黑" w:eastAsia="微软雅黑" w:hAnsi="微软雅黑" w:cs="宋体" w:hint="eastAsia"/>
          <w:sz w:val="18"/>
          <w:szCs w:val="18"/>
        </w:rPr>
        <w:t>纯化水以</w:t>
      </w:r>
      <w:bookmarkStart w:id="25" w:name="OLE_LINK20"/>
      <w:r w:rsidRPr="00D91C9E">
        <w:rPr>
          <w:rFonts w:ascii="微软雅黑" w:eastAsia="微软雅黑" w:hAnsi="微软雅黑" w:cs="宋体" w:hint="eastAsia"/>
          <w:sz w:val="18"/>
          <w:szCs w:val="18"/>
        </w:rPr>
        <w:t>1.0-10.0ml/min</w:t>
      </w:r>
      <w:bookmarkEnd w:id="25"/>
      <w:r w:rsidRPr="00D91C9E">
        <w:rPr>
          <w:rFonts w:ascii="微软雅黑" w:eastAsia="微软雅黑" w:hAnsi="微软雅黑" w:cs="宋体" w:hint="eastAsia"/>
          <w:sz w:val="18"/>
          <w:szCs w:val="18"/>
        </w:rPr>
        <w:t>清洗介质。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备注：此步骤用于去除介质中的洗脱液。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lastRenderedPageBreak/>
        <w:t>f.保存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/>
          <w:color w:val="000000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用2-5CV 20%乙醇以1.0-10.0ml/min清洗介质后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保存。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/>
          <w:color w:val="000000"/>
          <w:sz w:val="18"/>
          <w:szCs w:val="18"/>
        </w:rPr>
      </w:pP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备注：</w:t>
      </w:r>
      <w:bookmarkStart w:id="26" w:name="OLE_LINK14"/>
      <w:bookmarkStart w:id="27" w:name="OLE_LINK36"/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20%乙醇</w:t>
      </w:r>
      <w:bookmarkEnd w:id="26"/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可以防止微生物的生长，20%乙醇保存的介质可以在</w:t>
      </w:r>
      <w:bookmarkStart w:id="28" w:name="OLE_LINK18"/>
      <w:r w:rsidRPr="00D91C9E">
        <w:rPr>
          <w:rFonts w:ascii="微软雅黑" w:eastAsia="微软雅黑" w:hAnsi="微软雅黑"/>
          <w:color w:val="000000"/>
          <w:sz w:val="18"/>
          <w:szCs w:val="18"/>
        </w:rPr>
        <w:t>4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-30</w:t>
      </w:r>
      <w:r w:rsidRPr="00D91C9E">
        <w:rPr>
          <w:rFonts w:ascii="微软雅黑" w:eastAsia="微软雅黑" w:hAnsi="微软雅黑" w:cs="宋体" w:hint="eastAsia"/>
          <w:color w:val="000000"/>
          <w:sz w:val="18"/>
          <w:szCs w:val="18"/>
        </w:rPr>
        <w:t>℃</w:t>
      </w:r>
      <w:bookmarkStart w:id="29" w:name="OLE_LINK16"/>
      <w:bookmarkEnd w:id="28"/>
      <w:r w:rsidRPr="00D91C9E">
        <w:rPr>
          <w:rFonts w:ascii="微软雅黑" w:eastAsia="微软雅黑" w:hAnsi="微软雅黑" w:cs="宋体" w:hint="eastAsia"/>
          <w:color w:val="000000"/>
          <w:sz w:val="18"/>
          <w:szCs w:val="18"/>
        </w:rPr>
        <w:t>（</w:t>
      </w:r>
      <w:bookmarkEnd w:id="29"/>
      <w:r w:rsidRPr="00D91C9E">
        <w:rPr>
          <w:rFonts w:ascii="微软雅黑" w:eastAsia="微软雅黑" w:hAnsi="微软雅黑"/>
          <w:color w:val="000000"/>
          <w:sz w:val="18"/>
          <w:szCs w:val="18"/>
        </w:rPr>
        <w:t>4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-8</w:t>
      </w:r>
      <w:r w:rsidRPr="00D91C9E">
        <w:rPr>
          <w:rFonts w:ascii="微软雅黑" w:eastAsia="微软雅黑" w:hAnsi="微软雅黑" w:cs="宋体" w:hint="eastAsia"/>
          <w:color w:val="000000"/>
          <w:sz w:val="18"/>
          <w:szCs w:val="18"/>
        </w:rPr>
        <w:t>℃更佳）保存。</w:t>
      </w:r>
      <w:bookmarkEnd w:id="27"/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30" w:name="OLE_LINK33"/>
      <w:r w:rsidRPr="00D91C9E">
        <w:rPr>
          <w:rFonts w:ascii="微软雅黑" w:eastAsia="微软雅黑" w:hAnsi="微软雅黑" w:cs="宋体" w:hint="eastAsia"/>
          <w:sz w:val="18"/>
          <w:szCs w:val="18"/>
        </w:rPr>
        <w:t>g.溶液配制</w:t>
      </w:r>
      <w:bookmarkEnd w:id="30"/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平衡液/洗脱液：平衡液和洗脱液为同一种溶液，根据客户需求进行配制。</w:t>
      </w:r>
    </w:p>
    <w:p w:rsidR="00AB1D01" w:rsidRPr="00D91C9E" w:rsidRDefault="00AB1D01" w:rsidP="00AB1D01">
      <w:pPr>
        <w:spacing w:line="320" w:lineRule="exact"/>
        <w:ind w:firstLine="420"/>
        <w:rPr>
          <w:rFonts w:ascii="微软雅黑" w:eastAsia="微软雅黑" w:hAnsi="微软雅黑" w:cs="宋体"/>
          <w:sz w:val="18"/>
          <w:szCs w:val="18"/>
        </w:rPr>
      </w:pPr>
      <w:bookmarkStart w:id="31" w:name="OLE_LINK26"/>
      <w:r w:rsidRPr="00D91C9E">
        <w:rPr>
          <w:rFonts w:ascii="微软雅黑" w:eastAsia="微软雅黑" w:hAnsi="微软雅黑" w:cs="宋体" w:hint="eastAsia"/>
          <w:sz w:val="18"/>
          <w:szCs w:val="18"/>
        </w:rPr>
        <w:t>备注：建议在目标溶液中加入一定浓度的盐（至少0.025 M）用来抑制样本和介质的离子相互作用；</w:t>
      </w:r>
      <w:bookmarkStart w:id="32" w:name="OLE_LINK19"/>
      <w:r w:rsidRPr="00D91C9E">
        <w:rPr>
          <w:rFonts w:ascii="微软雅黑" w:eastAsia="微软雅黑" w:hAnsi="微软雅黑" w:cs="宋体" w:hint="eastAsia"/>
          <w:sz w:val="18"/>
          <w:szCs w:val="18"/>
        </w:rPr>
        <w:t>当盐浓度</w:t>
      </w:r>
      <w:r w:rsidRPr="00D91C9E">
        <w:rPr>
          <w:rFonts w:ascii="微软雅黑" w:eastAsia="微软雅黑" w:hAnsi="微软雅黑" w:cs="宋体"/>
          <w:sz w:val="18"/>
          <w:szCs w:val="18"/>
        </w:rPr>
        <w:t>&gt;</w:t>
      </w:r>
      <w:r w:rsidRPr="00D91C9E">
        <w:rPr>
          <w:rFonts w:ascii="微软雅黑" w:eastAsia="微软雅黑" w:hAnsi="微软雅黑" w:cs="宋体" w:hint="eastAsia"/>
          <w:sz w:val="18"/>
          <w:szCs w:val="18"/>
        </w:rPr>
        <w:t>1.0 M 时，疏水性样本会与介质有轻微的结合</w:t>
      </w:r>
      <w:bookmarkEnd w:id="32"/>
      <w:r w:rsidRPr="00D91C9E">
        <w:rPr>
          <w:rFonts w:ascii="微软雅黑" w:eastAsia="微软雅黑" w:hAnsi="微软雅黑" w:cs="宋体" w:hint="eastAsia"/>
          <w:sz w:val="18"/>
          <w:szCs w:val="18"/>
        </w:rPr>
        <w:t>；在更高浓度的盐（</w:t>
      </w:r>
      <w:r w:rsidRPr="00D91C9E">
        <w:rPr>
          <w:rFonts w:ascii="微软雅黑" w:eastAsia="微软雅黑" w:hAnsi="微软雅黑" w:cs="宋体"/>
          <w:sz w:val="18"/>
          <w:szCs w:val="18"/>
        </w:rPr>
        <w:t>&gt;</w:t>
      </w:r>
      <w:r w:rsidRPr="00D91C9E">
        <w:rPr>
          <w:rFonts w:ascii="微软雅黑" w:eastAsia="微软雅黑" w:hAnsi="微软雅黑" w:cs="宋体" w:hint="eastAsia"/>
          <w:sz w:val="18"/>
          <w:szCs w:val="18"/>
        </w:rPr>
        <w:t>1.5 M ）时，介质会有轻微的收缩。</w:t>
      </w:r>
    </w:p>
    <w:p w:rsidR="00AB1D01" w:rsidRDefault="00AB1D01" w:rsidP="00AB1D01">
      <w:pPr>
        <w:spacing w:line="320" w:lineRule="exact"/>
        <w:rPr>
          <w:rFonts w:ascii="微软雅黑" w:eastAsia="微软雅黑" w:hAnsi="微软雅黑" w:cs="宋体" w:hint="eastAsia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备注：当使用重力柱和注射器操作时，5ml/min</w:t>
      </w:r>
      <w:r w:rsidRPr="00D91C9E">
        <w:rPr>
          <w:rFonts w:ascii="微软雅黑" w:eastAsia="微软雅黑" w:hAnsi="微软雅黑" w:cs="宋体"/>
          <w:sz w:val="18"/>
          <w:szCs w:val="18"/>
        </w:rPr>
        <w:t>≈</w:t>
      </w:r>
      <w:r w:rsidRPr="00D91C9E">
        <w:rPr>
          <w:rFonts w:ascii="微软雅黑" w:eastAsia="微软雅黑" w:hAnsi="微软雅黑" w:cs="宋体" w:hint="eastAsia"/>
          <w:sz w:val="18"/>
          <w:szCs w:val="18"/>
        </w:rPr>
        <w:t>100-120滴/min。</w:t>
      </w:r>
    </w:p>
    <w:p w:rsidR="00D91C9E" w:rsidRPr="00D91C9E" w:rsidRDefault="00D91C9E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</w:p>
    <w:p w:rsidR="00AB1D01" w:rsidRPr="00D91C9E" w:rsidRDefault="00AB1D01" w:rsidP="00AB1D01">
      <w:pPr>
        <w:widowControl/>
        <w:numPr>
          <w:ilvl w:val="0"/>
          <w:numId w:val="14"/>
        </w:numPr>
        <w:adjustRightInd w:val="0"/>
        <w:snapToGrid w:val="0"/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bookmarkStart w:id="33" w:name="OLE_LINK47"/>
      <w:bookmarkEnd w:id="31"/>
      <w:r w:rsidRPr="00D91C9E">
        <w:rPr>
          <w:rFonts w:ascii="微软雅黑" w:eastAsia="微软雅黑" w:hAnsi="微软雅黑" w:hint="eastAsia"/>
          <w:b/>
          <w:sz w:val="18"/>
          <w:szCs w:val="18"/>
        </w:rPr>
        <w:t>清洗</w:t>
      </w:r>
    </w:p>
    <w:bookmarkEnd w:id="33"/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 xml:space="preserve">    清洗后可以去除一些强结合性物质（例如一些强结合的蛋白、变性蛋白、脂类等），</w:t>
      </w:r>
      <w:bookmarkStart w:id="34" w:name="OLE_LINK110"/>
      <w:r w:rsidRPr="00D91C9E">
        <w:rPr>
          <w:rFonts w:ascii="微软雅黑" w:eastAsia="微软雅黑" w:hAnsi="微软雅黑" w:cs="宋体" w:hint="eastAsia"/>
          <w:sz w:val="18"/>
          <w:szCs w:val="18"/>
        </w:rPr>
        <w:t>从而</w:t>
      </w:r>
      <w:bookmarkStart w:id="35" w:name="OLE_LINK93"/>
      <w:r w:rsidRPr="00D91C9E">
        <w:rPr>
          <w:rFonts w:ascii="微软雅黑" w:eastAsia="微软雅黑" w:hAnsi="微软雅黑" w:cs="宋体" w:hint="eastAsia"/>
          <w:sz w:val="18"/>
          <w:szCs w:val="18"/>
        </w:rPr>
        <w:t>达到</w:t>
      </w:r>
      <w:bookmarkEnd w:id="34"/>
      <w:bookmarkEnd w:id="35"/>
      <w:r w:rsidRPr="00D91C9E">
        <w:rPr>
          <w:rFonts w:ascii="微软雅黑" w:eastAsia="微软雅黑" w:hAnsi="微软雅黑" w:cs="宋体" w:hint="eastAsia"/>
          <w:sz w:val="18"/>
          <w:szCs w:val="18"/>
        </w:rPr>
        <w:t>恢复介质的优良性能（例如载量、流动性、柱效等）。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 xml:space="preserve">    建议每使用5次后进行一次清洗，具体清洗频率需根据纯化的初始样品的洁净度进行调整。</w:t>
      </w:r>
    </w:p>
    <w:p w:rsidR="00AB1D01" w:rsidRPr="00D91C9E" w:rsidRDefault="00AB1D01" w:rsidP="00AB1D01">
      <w:pPr>
        <w:widowControl/>
        <w:numPr>
          <w:ilvl w:val="0"/>
          <w:numId w:val="16"/>
        </w:numPr>
        <w:adjustRightInd w:val="0"/>
        <w:snapToGrid w:val="0"/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36" w:name="OLE_LINK45"/>
      <w:r w:rsidRPr="00D91C9E">
        <w:rPr>
          <w:rFonts w:ascii="微软雅黑" w:eastAsia="微软雅黑" w:hAnsi="微软雅黑" w:cs="宋体" w:hint="eastAsia"/>
          <w:sz w:val="18"/>
          <w:szCs w:val="18"/>
        </w:rPr>
        <w:t>用</w:t>
      </w:r>
      <w:bookmarkStart w:id="37" w:name="OLE_LINK43"/>
      <w:r w:rsidRPr="00D91C9E">
        <w:rPr>
          <w:rFonts w:ascii="微软雅黑" w:eastAsia="微软雅黑" w:hAnsi="微软雅黑" w:cs="宋体" w:hint="eastAsia"/>
          <w:sz w:val="18"/>
          <w:szCs w:val="18"/>
        </w:rPr>
        <w:t>5-10倍柱体积</w:t>
      </w:r>
      <w:bookmarkEnd w:id="37"/>
      <w:r w:rsidRPr="00D91C9E">
        <w:rPr>
          <w:rFonts w:ascii="微软雅黑" w:eastAsia="微软雅黑" w:hAnsi="微软雅黑" w:cs="宋体" w:hint="eastAsia"/>
          <w:sz w:val="18"/>
          <w:szCs w:val="18"/>
        </w:rPr>
        <w:t>低浓度离子型或非离子型去污剂（如0.5%</w:t>
      </w:r>
      <w:bookmarkStart w:id="38" w:name="OLE_LINK73"/>
      <w:r w:rsidRPr="00D91C9E">
        <w:rPr>
          <w:rFonts w:ascii="微软雅黑" w:eastAsia="微软雅黑" w:hAnsi="微软雅黑" w:cs="宋体" w:hint="eastAsia"/>
          <w:sz w:val="18"/>
          <w:szCs w:val="18"/>
        </w:rPr>
        <w:t>Triton X-100</w:t>
      </w:r>
      <w:bookmarkEnd w:id="38"/>
      <w:r w:rsidRPr="00D91C9E">
        <w:rPr>
          <w:rFonts w:ascii="微软雅黑" w:eastAsia="微软雅黑" w:hAnsi="微软雅黑" w:cs="宋体" w:hint="eastAsia"/>
          <w:sz w:val="18"/>
          <w:szCs w:val="18"/>
        </w:rPr>
        <w:t>）冲洗后，立即用5-10倍柱体积纯化水冲洗。</w:t>
      </w:r>
      <w:bookmarkEnd w:id="36"/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39" w:name="OLE_LINK32"/>
      <w:r w:rsidRPr="00D91C9E">
        <w:rPr>
          <w:rFonts w:ascii="微软雅黑" w:eastAsia="微软雅黑" w:hAnsi="微软雅黑" w:cs="宋体" w:hint="eastAsia"/>
          <w:sz w:val="18"/>
          <w:szCs w:val="18"/>
        </w:rPr>
        <w:t>备注：用于去除疏水结合物质。</w:t>
      </w:r>
    </w:p>
    <w:bookmarkEnd w:id="39"/>
    <w:p w:rsidR="00AB1D01" w:rsidRPr="00D91C9E" w:rsidRDefault="00AB1D01" w:rsidP="00AB1D01">
      <w:pPr>
        <w:widowControl/>
        <w:numPr>
          <w:ilvl w:val="0"/>
          <w:numId w:val="16"/>
        </w:numPr>
        <w:adjustRightInd w:val="0"/>
        <w:snapToGrid w:val="0"/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用5-10倍柱体积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8M 尿素或</w:t>
      </w:r>
      <w:r w:rsidRPr="00D91C9E">
        <w:rPr>
          <w:rFonts w:ascii="微软雅黑" w:eastAsia="微软雅黑" w:hAnsi="微软雅黑" w:hint="eastAsia"/>
          <w:sz w:val="18"/>
          <w:szCs w:val="18"/>
        </w:rPr>
        <w:t>6M</w:t>
      </w:r>
      <w:r w:rsidRPr="00D91C9E">
        <w:rPr>
          <w:rFonts w:ascii="微软雅黑" w:eastAsia="微软雅黑" w:hAnsi="微软雅黑" w:cs="宋体" w:hint="eastAsia"/>
          <w:sz w:val="18"/>
          <w:szCs w:val="18"/>
        </w:rPr>
        <w:t>盐酸胍冲洗后</w:t>
      </w:r>
      <w:bookmarkStart w:id="40" w:name="OLE_LINK46"/>
      <w:r w:rsidRPr="00D91C9E">
        <w:rPr>
          <w:rFonts w:ascii="微软雅黑" w:eastAsia="微软雅黑" w:hAnsi="微软雅黑" w:cs="宋体" w:hint="eastAsia"/>
          <w:sz w:val="18"/>
          <w:szCs w:val="18"/>
        </w:rPr>
        <w:t>，立即用5-10倍柱体积纯化水冲洗</w:t>
      </w:r>
      <w:bookmarkEnd w:id="40"/>
      <w:r w:rsidRPr="00D91C9E">
        <w:rPr>
          <w:rFonts w:ascii="微软雅黑" w:eastAsia="微软雅黑" w:hAnsi="微软雅黑" w:cs="宋体" w:hint="eastAsia"/>
          <w:sz w:val="18"/>
          <w:szCs w:val="18"/>
        </w:rPr>
        <w:t>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备注：用于去除聚集在介质中的沉淀或变性物质。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c.用5-10倍柱体积的0.2M NaOH冲洗后，立即用纯化水冲洗至pH为中性。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41" w:name="OLE_LINK41"/>
      <w:r w:rsidRPr="00D91C9E">
        <w:rPr>
          <w:rFonts w:ascii="微软雅黑" w:eastAsia="微软雅黑" w:hAnsi="微软雅黑" w:cs="宋体" w:hint="eastAsia"/>
          <w:sz w:val="18"/>
          <w:szCs w:val="18"/>
        </w:rPr>
        <w:t>d.用5-10倍柱体积的20%乙醇冲洗后保存</w:t>
      </w:r>
      <w:bookmarkEnd w:id="41"/>
      <w:r w:rsidRPr="00D91C9E">
        <w:rPr>
          <w:rFonts w:ascii="微软雅黑" w:eastAsia="微软雅黑" w:hAnsi="微软雅黑" w:cs="宋体" w:hint="eastAsia"/>
          <w:sz w:val="18"/>
          <w:szCs w:val="18"/>
        </w:rPr>
        <w:t>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备注：20%乙醇可以防止微生物的生长，20%乙醇保存的介质可以在</w:t>
      </w:r>
      <w:r w:rsidRPr="00D91C9E">
        <w:rPr>
          <w:rFonts w:ascii="微软雅黑" w:eastAsia="微软雅黑" w:hAnsi="微软雅黑"/>
          <w:color w:val="000000"/>
          <w:sz w:val="18"/>
          <w:szCs w:val="18"/>
        </w:rPr>
        <w:t>4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-30</w:t>
      </w:r>
      <w:r w:rsidRPr="00D91C9E">
        <w:rPr>
          <w:rFonts w:ascii="微软雅黑" w:eastAsia="微软雅黑" w:hAnsi="微软雅黑" w:cs="宋体" w:hint="eastAsia"/>
          <w:color w:val="000000"/>
          <w:sz w:val="18"/>
          <w:szCs w:val="18"/>
        </w:rPr>
        <w:t>℃（</w:t>
      </w:r>
      <w:r w:rsidRPr="00D91C9E">
        <w:rPr>
          <w:rFonts w:ascii="微软雅黑" w:eastAsia="微软雅黑" w:hAnsi="微软雅黑"/>
          <w:color w:val="000000"/>
          <w:sz w:val="18"/>
          <w:szCs w:val="18"/>
        </w:rPr>
        <w:t>4</w:t>
      </w:r>
      <w:r w:rsidRPr="00D91C9E">
        <w:rPr>
          <w:rFonts w:ascii="微软雅黑" w:eastAsia="微软雅黑" w:hAnsi="微软雅黑" w:hint="eastAsia"/>
          <w:color w:val="000000"/>
          <w:sz w:val="18"/>
          <w:szCs w:val="18"/>
        </w:rPr>
        <w:t>-8</w:t>
      </w:r>
      <w:r w:rsidRPr="00D91C9E">
        <w:rPr>
          <w:rFonts w:ascii="微软雅黑" w:eastAsia="微软雅黑" w:hAnsi="微软雅黑" w:cs="宋体" w:hint="eastAsia"/>
          <w:color w:val="000000"/>
          <w:sz w:val="18"/>
          <w:szCs w:val="18"/>
        </w:rPr>
        <w:t>℃更佳）保存。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</w:p>
    <w:p w:rsidR="00AB1D01" w:rsidRPr="00D91C9E" w:rsidRDefault="00AB1D01" w:rsidP="00AB1D01">
      <w:pPr>
        <w:widowControl/>
        <w:numPr>
          <w:ilvl w:val="0"/>
          <w:numId w:val="17"/>
        </w:numPr>
        <w:adjustRightInd w:val="0"/>
        <w:snapToGrid w:val="0"/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bookmarkStart w:id="42" w:name="OLE_LINK49"/>
      <w:r w:rsidRPr="00D91C9E">
        <w:rPr>
          <w:rFonts w:ascii="微软雅黑" w:eastAsia="微软雅黑" w:hAnsi="微软雅黑" w:hint="eastAsia"/>
          <w:b/>
          <w:sz w:val="18"/>
          <w:szCs w:val="18"/>
        </w:rPr>
        <w:t>应用案例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</w:rPr>
        <w:t>案例一</w:t>
      </w:r>
    </w:p>
    <w:p w:rsidR="00AB1D01" w:rsidRPr="00D91C9E" w:rsidRDefault="00D91C9E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52705</wp:posOffset>
            </wp:positionV>
            <wp:extent cx="5847080" cy="3790950"/>
            <wp:effectExtent l="19050" t="0" r="1270" b="0"/>
            <wp:wrapNone/>
            <wp:docPr id="1" name="图片 2" descr="G25 f(1.0mm)-Sample(0.5 1.0 1.5 m)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25 f(1.0mm)-Sample(0.5 1.0 1.5 m)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D01" w:rsidRDefault="00AB1D01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Pr="00D91C9E" w:rsidRDefault="00D91C9E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</w:p>
    <w:p w:rsidR="00AB1D01" w:rsidRDefault="00AB1D01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D91C9E">
        <w:rPr>
          <w:rFonts w:ascii="微软雅黑" w:eastAsia="微软雅黑" w:hAnsi="微软雅黑" w:hint="eastAsia"/>
          <w:sz w:val="18"/>
          <w:szCs w:val="18"/>
        </w:rPr>
        <w:t>备注：由案例一可知：目标样本的保留时间随着上样体积的变化而变化。</w:t>
      </w: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Pr="00D91C9E" w:rsidRDefault="00D91C9E" w:rsidP="00AB1D01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lastRenderedPageBreak/>
        <w:t>表2：案例一使用效果的相关数据</w:t>
      </w:r>
    </w:p>
    <w:tbl>
      <w:tblPr>
        <w:tblStyle w:val="a8"/>
        <w:tblW w:w="10682" w:type="dxa"/>
        <w:jc w:val="center"/>
        <w:tblLayout w:type="fixed"/>
        <w:tblLook w:val="04A0"/>
      </w:tblPr>
      <w:tblGrid>
        <w:gridCol w:w="2136"/>
        <w:gridCol w:w="2136"/>
        <w:gridCol w:w="2136"/>
        <w:gridCol w:w="2137"/>
        <w:gridCol w:w="2137"/>
      </w:tblGrid>
      <w:tr w:rsidR="00AB1D01" w:rsidRPr="00D91C9E" w:rsidTr="00B069D5">
        <w:trPr>
          <w:jc w:val="center"/>
        </w:trPr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上样体积</w:t>
            </w:r>
            <w:bookmarkStart w:id="43" w:name="OLE_LINK25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（ml）</w:t>
            </w:r>
            <w:bookmarkEnd w:id="43"/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收集体积（ml）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稀释倍数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脱盐率</w:t>
            </w:r>
            <w:bookmarkStart w:id="44" w:name="OLE_LINK30"/>
            <w:bookmarkStart w:id="45" w:name="OLE_LINK28"/>
            <w:r w:rsidRPr="00D91C9E"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*</w:t>
            </w:r>
            <w:bookmarkEnd w:id="44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(%)</w:t>
            </w:r>
            <w:bookmarkEnd w:id="45"/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回收率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**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(%)</w:t>
            </w:r>
          </w:p>
        </w:tc>
      </w:tr>
      <w:tr w:rsidR="00AB1D01" w:rsidRPr="00D91C9E" w:rsidTr="00B069D5">
        <w:trPr>
          <w:jc w:val="center"/>
        </w:trPr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0.5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1.2-1.5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2.4-3.0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46" w:name="OLE_LINK29"/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bookmarkEnd w:id="46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99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85</w:t>
            </w:r>
          </w:p>
        </w:tc>
      </w:tr>
      <w:tr w:rsidR="00AB1D01" w:rsidRPr="00D91C9E" w:rsidTr="00B069D5">
        <w:trPr>
          <w:jc w:val="center"/>
        </w:trPr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1.0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1.8-2.0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47" w:name="OLE_LINK27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1.8-2.0</w:t>
            </w:r>
            <w:bookmarkEnd w:id="47"/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98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90</w:t>
            </w:r>
          </w:p>
        </w:tc>
      </w:tr>
      <w:tr w:rsidR="00AB1D01" w:rsidRPr="00D91C9E" w:rsidTr="00B069D5">
        <w:trPr>
          <w:jc w:val="center"/>
        </w:trPr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1.5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2.0-2.4</w:t>
            </w:r>
          </w:p>
        </w:tc>
        <w:tc>
          <w:tcPr>
            <w:tcW w:w="2136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1.3-1.6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96</w:t>
            </w:r>
          </w:p>
        </w:tc>
        <w:tc>
          <w:tcPr>
            <w:tcW w:w="2137" w:type="dxa"/>
          </w:tcPr>
          <w:p w:rsidR="00AB1D01" w:rsidRPr="00D91C9E" w:rsidRDefault="00AB1D01" w:rsidP="00AB1D01">
            <w:pPr>
              <w:tabs>
                <w:tab w:val="left" w:pos="2465"/>
              </w:tabs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cs="Arial"/>
                <w:sz w:val="18"/>
                <w:szCs w:val="18"/>
              </w:rPr>
              <w:t>&gt;</w:t>
            </w: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95</w:t>
            </w:r>
          </w:p>
        </w:tc>
      </w:tr>
    </w:tbl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bookmarkStart w:id="48" w:name="OLE_LINK31"/>
      <w:r w:rsidRPr="00D91C9E">
        <w:rPr>
          <w:rFonts w:ascii="微软雅黑" w:eastAsia="微软雅黑" w:hAnsi="微软雅黑" w:cs="宋体" w:hint="eastAsia"/>
          <w:sz w:val="18"/>
          <w:szCs w:val="18"/>
        </w:rPr>
        <w:t>备注：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*脱盐效果的高低主要取决于收集样本的时间段和上样的体积。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**回收率的主要取决于样本的性质、收集样本的时间段、以及测量误差（当样本浓度过低时，测量误差较大）。</w:t>
      </w:r>
    </w:p>
    <w:bookmarkEnd w:id="48"/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</w:rPr>
        <w:t>案例二</w:t>
      </w:r>
    </w:p>
    <w:p w:rsidR="00AB1D01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97155</wp:posOffset>
            </wp:positionV>
            <wp:extent cx="5820410" cy="3267075"/>
            <wp:effectExtent l="19050" t="0" r="8890" b="0"/>
            <wp:wrapNone/>
            <wp:docPr id="7" name="图片 7" descr="G25 f(5.0mm)-Sample(0.5 1.0 1.5 m)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25 f(5.0mm)-Sample(0.5 1.0 1.5 m)-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b/>
          <w:sz w:val="18"/>
          <w:szCs w:val="18"/>
        </w:rPr>
      </w:pPr>
    </w:p>
    <w:p w:rsidR="00D91C9E" w:rsidRPr="00D91C9E" w:rsidRDefault="00D91C9E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bookmarkStart w:id="49" w:name="OLE_LINK62"/>
      <w:r w:rsidRPr="00D91C9E">
        <w:rPr>
          <w:rFonts w:ascii="微软雅黑" w:eastAsia="微软雅黑" w:hAnsi="微软雅黑" w:hint="eastAsia"/>
          <w:sz w:val="18"/>
          <w:szCs w:val="18"/>
        </w:rPr>
        <w:t>备注：由案例一和案例二可知：目标样本的保留时间和浓度均不受流速的影响。</w:t>
      </w:r>
      <w:bookmarkEnd w:id="49"/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bookmarkStart w:id="50" w:name="OLE_LINK17"/>
      <w:r w:rsidRPr="00D91C9E">
        <w:rPr>
          <w:rFonts w:ascii="微软雅黑" w:eastAsia="微软雅黑" w:hAnsi="微软雅黑" w:hint="eastAsia"/>
          <w:b/>
          <w:sz w:val="18"/>
          <w:szCs w:val="18"/>
        </w:rPr>
        <w:t>案例三</w:t>
      </w:r>
    </w:p>
    <w:bookmarkEnd w:id="42"/>
    <w:bookmarkEnd w:id="50"/>
    <w:p w:rsidR="00AB1D01" w:rsidRPr="00D91C9E" w:rsidRDefault="00D91C9E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147955</wp:posOffset>
            </wp:positionV>
            <wp:extent cx="5905500" cy="3314700"/>
            <wp:effectExtent l="19050" t="0" r="0" b="0"/>
            <wp:wrapNone/>
            <wp:docPr id="8" name="图片 8" descr="G25 Sample(1.0m)-f(1.0 3.0 5.0 10.0mm)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25 Sample(1.0m)-f(1.0 3.0 5.0 10.0mm)-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D91C9E" w:rsidRDefault="00D91C9E" w:rsidP="00AB1D01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AB1D01" w:rsidRPr="00D91C9E" w:rsidRDefault="00D91C9E" w:rsidP="00AB1D01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备注：由案例三可看出流速变化（在介质可耐受的流速范围内）对目标样本</w:t>
      </w:r>
      <w:r w:rsidR="00AB1D01" w:rsidRPr="00D91C9E">
        <w:rPr>
          <w:rFonts w:ascii="微软雅黑" w:eastAsia="微软雅黑" w:hAnsi="微软雅黑" w:hint="eastAsia"/>
          <w:sz w:val="18"/>
          <w:szCs w:val="18"/>
        </w:rPr>
        <w:t>浓度、回收率、稀释倍数均无影响，仅对脱盐率有轻微的影响。</w:t>
      </w:r>
    </w:p>
    <w:p w:rsidR="00AB1D01" w:rsidRPr="00D91C9E" w:rsidRDefault="00AB1D01" w:rsidP="00AB1D01">
      <w:pPr>
        <w:widowControl/>
        <w:numPr>
          <w:ilvl w:val="0"/>
          <w:numId w:val="17"/>
        </w:numPr>
        <w:adjustRightInd w:val="0"/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</w:rPr>
        <w:lastRenderedPageBreak/>
        <w:t>常见问题</w:t>
      </w:r>
    </w:p>
    <w:p w:rsidR="00AB1D01" w:rsidRPr="00D91C9E" w:rsidRDefault="00AB1D01" w:rsidP="00AB1D01">
      <w:pPr>
        <w:spacing w:line="320" w:lineRule="exact"/>
        <w:rPr>
          <w:rFonts w:ascii="微软雅黑" w:eastAsia="微软雅黑" w:hAnsi="微软雅黑" w:cs="宋体"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表3：常见问题及解决方案</w:t>
      </w:r>
    </w:p>
    <w:tbl>
      <w:tblPr>
        <w:tblStyle w:val="a8"/>
        <w:tblW w:w="10773" w:type="dxa"/>
        <w:tblInd w:w="108" w:type="dxa"/>
        <w:tblLayout w:type="fixed"/>
        <w:tblLook w:val="04A0"/>
      </w:tblPr>
      <w:tblGrid>
        <w:gridCol w:w="1701"/>
        <w:gridCol w:w="4924"/>
        <w:gridCol w:w="4148"/>
      </w:tblGrid>
      <w:tr w:rsidR="00AB1D01" w:rsidRPr="00D91C9E" w:rsidTr="00D91C9E">
        <w:trPr>
          <w:trHeight w:val="297"/>
        </w:trPr>
        <w:tc>
          <w:tcPr>
            <w:tcW w:w="1701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51" w:name="OLE_LINK105"/>
            <w:bookmarkStart w:id="52" w:name="OLE_LINK92" w:colFirst="0" w:colLast="2"/>
            <w:bookmarkStart w:id="53" w:name="OLE_LINK103" w:colFirst="0" w:colLast="2"/>
            <w:bookmarkStart w:id="54" w:name="OLE_LINK104" w:colFirst="0" w:colLast="2"/>
            <w:bookmarkStart w:id="55" w:name="OLE_LINK50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问题</w:t>
            </w:r>
            <w:bookmarkEnd w:id="51"/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可能原因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解决方案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 w:val="restart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56" w:name="OLE_LINK106" w:colFirst="0" w:colLast="0"/>
            <w:bookmarkStart w:id="57" w:name="OLE_LINK107" w:colFirst="1" w:colLast="2"/>
            <w:bookmarkEnd w:id="52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回收率低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58" w:name="OLE_LINK4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1.开始收集时间过晚或停止收集时间过早</w:t>
            </w:r>
            <w:bookmarkEnd w:id="58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59" w:name="OLE_LINK6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正确及时的收集目标物</w:t>
            </w:r>
            <w:bookmarkEnd w:id="59"/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2.样本与介质发生疏水作用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提高上样流速或降低洗脱流速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60" w:name="OLE_LINK61" w:colFirst="1" w:colLast="2"/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3.样本浓度过低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洗脱后样本被稀释，检测误差增大</w:t>
            </w:r>
          </w:p>
        </w:tc>
      </w:tr>
      <w:bookmarkEnd w:id="60"/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4.脱盐后目标物质溶解度降低或在等电点附近聚集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适当提高洗脱液中盐浓度或调整合适的pH范围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5.</w:t>
            </w:r>
            <w:bookmarkStart w:id="61" w:name="OLE_LINK42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样品没有经过前处理</w:t>
            </w:r>
            <w:bookmarkEnd w:id="61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62" w:name="OLE_LINK44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样品上柱前必须要经过离心或过滤</w:t>
            </w:r>
            <w:bookmarkEnd w:id="62"/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63" w:name="OLE_LINK38" w:colFirst="1" w:colLast="2"/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64" w:name="OLE_LINK40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6.介质装填效果不佳</w:t>
            </w:r>
            <w:bookmarkEnd w:id="64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重新装填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65" w:name="OLE_LINK54" w:colFirst="1" w:colLast="2"/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7.分离柱顶部有较大储样体积，造成目标物洗脱时间延迟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重新装填或购买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8.长期使用后蛋白或脂类在介质中聚集沉淀，造成目标物洗脱时间延迟或残留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及时有效地清洗介质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66" w:name="OLE_LINK63" w:colFirst="1" w:colLast="2"/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9.介质中有微生物生长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介质使用完后，请及时正确保存介质</w:t>
            </w:r>
          </w:p>
        </w:tc>
      </w:tr>
      <w:bookmarkEnd w:id="63"/>
      <w:bookmarkEnd w:id="65"/>
      <w:bookmarkEnd w:id="66"/>
      <w:tr w:rsidR="00AB1D01" w:rsidRPr="00D91C9E" w:rsidTr="00D91C9E">
        <w:trPr>
          <w:trHeight w:val="295"/>
        </w:trPr>
        <w:tc>
          <w:tcPr>
            <w:tcW w:w="1701" w:type="dxa"/>
            <w:vMerge w:val="restart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脱盐效果差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1.停止收集时间过晚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正确及时的收集目标物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2.上样体积略大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适当的降低上样体积或上样浓度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3.样品没有经过前处理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样品上柱前必须要经过离心或过滤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4.介质装填效果不佳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重新装填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5.分离柱顶部有较大储样体积</w:t>
            </w:r>
            <w:bookmarkStart w:id="67" w:name="OLE_LINK58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，造成目标物洗脱时间延迟</w:t>
            </w:r>
            <w:bookmarkEnd w:id="67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重新装填或购买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6.长期使用后蛋白或脂类在介质中聚集沉淀</w:t>
            </w:r>
            <w:bookmarkStart w:id="68" w:name="OLE_LINK59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，造成目标物洗脱时间延迟</w:t>
            </w:r>
            <w:bookmarkEnd w:id="68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及时有效地清洗介质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7.介质中有微生物生长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介质使用完后，请及时正确保存介质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色谱峰上升缓慢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69" w:name="OLE_LINK66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介质装填过紧</w:t>
            </w:r>
            <w:bookmarkEnd w:id="69"/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70" w:name="OLE_LINK67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重新装柱</w:t>
            </w:r>
            <w:bookmarkEnd w:id="70"/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色谱峰拖尾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介质装填太松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重新装柱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柱床有裂缝或干涸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出现泄露或大体积气泡引入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检查管路是否有泄露或气泡，重新装柱</w:t>
            </w:r>
          </w:p>
        </w:tc>
      </w:tr>
      <w:tr w:rsidR="00AB1D01" w:rsidRPr="00D91C9E" w:rsidTr="00D91C9E">
        <w:trPr>
          <w:trHeight w:val="295"/>
        </w:trPr>
        <w:tc>
          <w:tcPr>
            <w:tcW w:w="1701" w:type="dxa"/>
            <w:vMerge w:val="restart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液流较慢</w:t>
            </w: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1.蛋白或脂类聚集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及时清洗介质或滤膜</w:t>
            </w:r>
          </w:p>
        </w:tc>
      </w:tr>
      <w:bookmarkEnd w:id="53"/>
      <w:bookmarkEnd w:id="56"/>
      <w:tr w:rsidR="00AB1D01" w:rsidRPr="00D91C9E" w:rsidTr="00D91C9E">
        <w:trPr>
          <w:trHeight w:val="590"/>
        </w:trPr>
        <w:tc>
          <w:tcPr>
            <w:tcW w:w="1701" w:type="dxa"/>
            <w:vMerge/>
          </w:tcPr>
          <w:p w:rsidR="00AB1D01" w:rsidRPr="00D91C9E" w:rsidRDefault="00AB1D01" w:rsidP="00AB1D01">
            <w:pPr>
              <w:pStyle w:val="Default"/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2.蛋白沉淀在介质中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调整平衡液和洗脱液组分，以维持目标物的稳定性和介质的结合效率</w:t>
            </w:r>
          </w:p>
        </w:tc>
      </w:tr>
      <w:tr w:rsidR="00AB1D01" w:rsidRPr="00D91C9E" w:rsidTr="00D91C9E">
        <w:trPr>
          <w:trHeight w:val="590"/>
        </w:trPr>
        <w:tc>
          <w:tcPr>
            <w:tcW w:w="1701" w:type="dxa"/>
            <w:vMerge/>
          </w:tcPr>
          <w:p w:rsidR="00AB1D01" w:rsidRPr="00D91C9E" w:rsidRDefault="00AB1D01" w:rsidP="00AB1D01">
            <w:pPr>
              <w:pStyle w:val="Default"/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24" w:type="dxa"/>
            <w:vAlign w:val="center"/>
          </w:tcPr>
          <w:p w:rsidR="00AB1D01" w:rsidRPr="00D91C9E" w:rsidRDefault="00AB1D01" w:rsidP="00AB1D01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3.分离柱中微生物生长</w:t>
            </w:r>
          </w:p>
        </w:tc>
        <w:tc>
          <w:tcPr>
            <w:tcW w:w="4148" w:type="dxa"/>
            <w:vAlign w:val="center"/>
          </w:tcPr>
          <w:p w:rsidR="00AB1D01" w:rsidRPr="00D91C9E" w:rsidRDefault="00AB1D01" w:rsidP="00D91C9E">
            <w:pPr>
              <w:pStyle w:val="Default"/>
              <w:spacing w:line="320" w:lineRule="exact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bookmarkStart w:id="71" w:name="OLE_LINK65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所用试剂必须经过过滤和脱气；样品上柱前必须离心或</w:t>
            </w:r>
            <w:bookmarkStart w:id="72" w:name="OLE_LINK64"/>
            <w:r w:rsidRPr="00D91C9E">
              <w:rPr>
                <w:rFonts w:ascii="微软雅黑" w:eastAsia="微软雅黑" w:hAnsi="微软雅黑" w:hint="eastAsia"/>
                <w:sz w:val="18"/>
                <w:szCs w:val="18"/>
              </w:rPr>
              <w:t>过滤</w:t>
            </w:r>
            <w:bookmarkEnd w:id="71"/>
            <w:bookmarkEnd w:id="72"/>
          </w:p>
        </w:tc>
      </w:tr>
    </w:tbl>
    <w:bookmarkEnd w:id="54"/>
    <w:bookmarkEnd w:id="55"/>
    <w:bookmarkEnd w:id="57"/>
    <w:p w:rsidR="00AB1D01" w:rsidRPr="00D91C9E" w:rsidRDefault="00AB1D01" w:rsidP="00AB1D01">
      <w:pPr>
        <w:spacing w:line="320" w:lineRule="exact"/>
        <w:rPr>
          <w:rFonts w:ascii="微软雅黑" w:eastAsia="微软雅黑" w:hAnsi="微软雅黑"/>
          <w:bCs/>
          <w:sz w:val="18"/>
          <w:szCs w:val="18"/>
        </w:rPr>
      </w:pPr>
      <w:r w:rsidRPr="00D91C9E">
        <w:rPr>
          <w:rFonts w:ascii="微软雅黑" w:eastAsia="微软雅黑" w:hAnsi="微软雅黑" w:cs="宋体" w:hint="eastAsia"/>
          <w:sz w:val="18"/>
          <w:szCs w:val="18"/>
        </w:rPr>
        <w:t>备注：大规格包装产品或其它产品购</w:t>
      </w:r>
      <w:r w:rsidRPr="00D91C9E">
        <w:rPr>
          <w:rFonts w:ascii="微软雅黑" w:eastAsia="微软雅黑" w:hAnsi="微软雅黑" w:hint="eastAsia"/>
          <w:bCs/>
          <w:sz w:val="18"/>
          <w:szCs w:val="18"/>
        </w:rPr>
        <w:t>买，请咨询本公司当地销售或售前技术支持。</w:t>
      </w:r>
    </w:p>
    <w:p w:rsidR="00AB1D01" w:rsidRPr="00D91C9E" w:rsidRDefault="00AB1D01" w:rsidP="00AB1D01">
      <w:pPr>
        <w:pStyle w:val="Default"/>
        <w:spacing w:line="320" w:lineRule="exact"/>
        <w:jc w:val="center"/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</w:pPr>
    </w:p>
    <w:p w:rsidR="00AB1D01" w:rsidRPr="00D91C9E" w:rsidRDefault="00AB1D01" w:rsidP="00AB1D01">
      <w:pPr>
        <w:pStyle w:val="Default"/>
        <w:spacing w:line="320" w:lineRule="exact"/>
        <w:jc w:val="center"/>
        <w:rPr>
          <w:rFonts w:hint="eastAsia"/>
          <w:b/>
          <w:sz w:val="18"/>
          <w:szCs w:val="18"/>
          <w:shd w:val="clear" w:color="auto" w:fill="FFFFFF"/>
        </w:rPr>
      </w:pPr>
    </w:p>
    <w:p w:rsidR="00AB1D01" w:rsidRPr="00D91C9E" w:rsidRDefault="00AB1D01" w:rsidP="00AB1D01">
      <w:pPr>
        <w:pStyle w:val="Default"/>
        <w:spacing w:line="320" w:lineRule="exact"/>
        <w:jc w:val="center"/>
        <w:rPr>
          <w:rFonts w:hint="eastAsia"/>
          <w:b/>
          <w:sz w:val="18"/>
          <w:szCs w:val="18"/>
          <w:shd w:val="clear" w:color="auto" w:fill="FFFFFF"/>
        </w:rPr>
      </w:pPr>
    </w:p>
    <w:p w:rsidR="006D36BD" w:rsidRPr="00D91C9E" w:rsidRDefault="00D91C9E" w:rsidP="00A925A3">
      <w:pPr>
        <w:pStyle w:val="Default"/>
        <w:spacing w:line="320" w:lineRule="exact"/>
        <w:jc w:val="center"/>
        <w:rPr>
          <w:rFonts w:ascii="微软雅黑" w:eastAsia="微软雅黑" w:hAnsi="微软雅黑"/>
          <w:b/>
          <w:sz w:val="18"/>
          <w:szCs w:val="18"/>
          <w:shd w:val="clear" w:color="auto" w:fill="FFFFFF"/>
        </w:rPr>
      </w:pPr>
      <w:r w:rsidRPr="00D91C9E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仅供研究，不得用于临床诊断</w:t>
      </w:r>
    </w:p>
    <w:sectPr w:rsidR="006D36BD" w:rsidRPr="00D91C9E" w:rsidSect="00A925A3">
      <w:footerReference w:type="default" r:id="rId12"/>
      <w:pgSz w:w="11906" w:h="16838"/>
      <w:pgMar w:top="397" w:right="567" w:bottom="3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76" w:rsidRDefault="00EB4276" w:rsidP="0065435B">
      <w:r>
        <w:separator/>
      </w:r>
    </w:p>
  </w:endnote>
  <w:endnote w:type="continuationSeparator" w:id="1">
    <w:p w:rsidR="00EB4276" w:rsidRDefault="00EB4276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ED7F64">
        <w:pPr>
          <w:pStyle w:val="a4"/>
          <w:jc w:val="right"/>
        </w:pPr>
        <w:fldSimple w:instr=" PAGE   \* MERGEFORMAT ">
          <w:r w:rsidR="00D91C9E" w:rsidRPr="00D91C9E">
            <w:rPr>
              <w:noProof/>
              <w:lang w:val="zh-CN"/>
            </w:rPr>
            <w:t>2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76" w:rsidRDefault="00EB4276" w:rsidP="0065435B">
      <w:r>
        <w:separator/>
      </w:r>
    </w:p>
  </w:footnote>
  <w:footnote w:type="continuationSeparator" w:id="1">
    <w:p w:rsidR="00EB4276" w:rsidRDefault="00EB4276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3BA0D"/>
    <w:multiLevelType w:val="hybridMultilevel"/>
    <w:tmpl w:val="BD601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0507E1"/>
    <w:multiLevelType w:val="hybridMultilevel"/>
    <w:tmpl w:val="1C16D5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9F6170"/>
    <w:multiLevelType w:val="hybridMultilevel"/>
    <w:tmpl w:val="B6334D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3D7B85"/>
    <w:multiLevelType w:val="hybridMultilevel"/>
    <w:tmpl w:val="CC1CE9BA"/>
    <w:lvl w:ilvl="0" w:tplc="C62C0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3FDE2C"/>
    <w:multiLevelType w:val="singleLevel"/>
    <w:tmpl w:val="573FDE2C"/>
    <w:lvl w:ilvl="0">
      <w:start w:val="1"/>
      <w:numFmt w:val="decimal"/>
      <w:suff w:val="nothing"/>
      <w:lvlText w:val="%1."/>
      <w:lvlJc w:val="left"/>
    </w:lvl>
  </w:abstractNum>
  <w:abstractNum w:abstractNumId="12">
    <w:nsid w:val="573FE2B7"/>
    <w:multiLevelType w:val="singleLevel"/>
    <w:tmpl w:val="573FE2B7"/>
    <w:lvl w:ilvl="0">
      <w:start w:val="1"/>
      <w:numFmt w:val="lowerLetter"/>
      <w:suff w:val="nothing"/>
      <w:lvlText w:val="%1."/>
      <w:lvlJc w:val="left"/>
    </w:lvl>
  </w:abstractNum>
  <w:abstractNum w:abstractNumId="13">
    <w:nsid w:val="57406D11"/>
    <w:multiLevelType w:val="singleLevel"/>
    <w:tmpl w:val="57406D11"/>
    <w:lvl w:ilvl="0">
      <w:start w:val="1"/>
      <w:numFmt w:val="lowerLetter"/>
      <w:suff w:val="nothing"/>
      <w:lvlText w:val="%1."/>
      <w:lvlJc w:val="left"/>
    </w:lvl>
  </w:abstractNum>
  <w:abstractNum w:abstractNumId="14">
    <w:nsid w:val="57407430"/>
    <w:multiLevelType w:val="singleLevel"/>
    <w:tmpl w:val="57407430"/>
    <w:lvl w:ilvl="0">
      <w:start w:val="4"/>
      <w:numFmt w:val="decimal"/>
      <w:suff w:val="nothing"/>
      <w:lvlText w:val="%1."/>
      <w:lvlJc w:val="left"/>
    </w:lvl>
  </w:abstractNum>
  <w:abstractNum w:abstractNumId="15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A600C"/>
    <w:multiLevelType w:val="multilevel"/>
    <w:tmpl w:val="ED8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920ED"/>
    <w:rsid w:val="000A4EB5"/>
    <w:rsid w:val="000A61A3"/>
    <w:rsid w:val="000B7599"/>
    <w:rsid w:val="000E4C23"/>
    <w:rsid w:val="00102361"/>
    <w:rsid w:val="00127CAE"/>
    <w:rsid w:val="00143960"/>
    <w:rsid w:val="001958C9"/>
    <w:rsid w:val="001A3463"/>
    <w:rsid w:val="002B464F"/>
    <w:rsid w:val="002C3F4C"/>
    <w:rsid w:val="002D5E46"/>
    <w:rsid w:val="002F1869"/>
    <w:rsid w:val="00311F60"/>
    <w:rsid w:val="00371A2F"/>
    <w:rsid w:val="003A4CAE"/>
    <w:rsid w:val="003A58DA"/>
    <w:rsid w:val="00414A46"/>
    <w:rsid w:val="00474083"/>
    <w:rsid w:val="00475678"/>
    <w:rsid w:val="0049205D"/>
    <w:rsid w:val="004D158E"/>
    <w:rsid w:val="00523F89"/>
    <w:rsid w:val="00524316"/>
    <w:rsid w:val="00552AD6"/>
    <w:rsid w:val="005D4CF8"/>
    <w:rsid w:val="00623478"/>
    <w:rsid w:val="00643D37"/>
    <w:rsid w:val="0065435B"/>
    <w:rsid w:val="00690FB9"/>
    <w:rsid w:val="00695F96"/>
    <w:rsid w:val="006A0154"/>
    <w:rsid w:val="006B50D9"/>
    <w:rsid w:val="006D36BD"/>
    <w:rsid w:val="006E5715"/>
    <w:rsid w:val="0072331A"/>
    <w:rsid w:val="00754FC0"/>
    <w:rsid w:val="0077383D"/>
    <w:rsid w:val="007A48A9"/>
    <w:rsid w:val="0081380C"/>
    <w:rsid w:val="008307E6"/>
    <w:rsid w:val="008906ED"/>
    <w:rsid w:val="008A044F"/>
    <w:rsid w:val="008B5A6C"/>
    <w:rsid w:val="008C7578"/>
    <w:rsid w:val="00902748"/>
    <w:rsid w:val="00904D45"/>
    <w:rsid w:val="00960F00"/>
    <w:rsid w:val="009C516F"/>
    <w:rsid w:val="009E39D2"/>
    <w:rsid w:val="00A34E28"/>
    <w:rsid w:val="00A42706"/>
    <w:rsid w:val="00A42A9B"/>
    <w:rsid w:val="00A75227"/>
    <w:rsid w:val="00A925A3"/>
    <w:rsid w:val="00AB1D01"/>
    <w:rsid w:val="00AD1737"/>
    <w:rsid w:val="00C24876"/>
    <w:rsid w:val="00C37C0A"/>
    <w:rsid w:val="00C51F22"/>
    <w:rsid w:val="00C6161A"/>
    <w:rsid w:val="00D01E9E"/>
    <w:rsid w:val="00D77AE7"/>
    <w:rsid w:val="00D91C9E"/>
    <w:rsid w:val="00DB7A57"/>
    <w:rsid w:val="00DF1928"/>
    <w:rsid w:val="00DF27D0"/>
    <w:rsid w:val="00E27D81"/>
    <w:rsid w:val="00E55C87"/>
    <w:rsid w:val="00E748F0"/>
    <w:rsid w:val="00E76797"/>
    <w:rsid w:val="00E938F0"/>
    <w:rsid w:val="00EB4276"/>
    <w:rsid w:val="00ED7F64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E9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99"/>
    <w:qFormat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qFormat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01E9E"/>
    <w:rPr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092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20</cp:revision>
  <cp:lastPrinted>2015-06-25T16:06:00Z</cp:lastPrinted>
  <dcterms:created xsi:type="dcterms:W3CDTF">2014-09-10T07:38:00Z</dcterms:created>
  <dcterms:modified xsi:type="dcterms:W3CDTF">2017-11-29T03:27:00Z</dcterms:modified>
</cp:coreProperties>
</file>