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Pr="00CE4FC7" w:rsidRDefault="007C6AA1" w:rsidP="003A58DA">
      <w:pPr>
        <w:spacing w:line="480" w:lineRule="auto"/>
        <w:ind w:right="1400"/>
        <w:rPr>
          <w:rFonts w:ascii="Meiryo" w:hAnsi="Meiryo" w:cs="Meiryo"/>
          <w:b/>
          <w:bCs/>
          <w:color w:val="000000" w:themeColor="text1"/>
          <w:kern w:val="0"/>
          <w:sz w:val="28"/>
          <w:szCs w:val="28"/>
        </w:rPr>
      </w:pPr>
      <w:r w:rsidRPr="00CE4FC7">
        <w:rPr>
          <w:rFonts w:ascii="Meiryo" w:hAnsi="Meiryo" w:cs="Meiryo"/>
          <w:b/>
          <w:bCs/>
          <w:noProof/>
          <w:color w:val="000000" w:themeColor="text1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25.3pt;height:39.55pt;z-index:251660288;mso-width-relative:margin;mso-height-relative:margin" fillcolor="#002060" strokecolor="black [3213]" strokeweight="1.5pt">
            <v:textbox style="mso-next-textbox:#_x0000_s2050">
              <w:txbxContent>
                <w:p w:rsidR="00695F96" w:rsidRPr="006E24B6" w:rsidRDefault="00CE4FC7" w:rsidP="006E24B6">
                  <w:pPr>
                    <w:jc w:val="left"/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E4FC7"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  <w:szCs w:val="28"/>
                    </w:rPr>
                    <w:t>2′,7′-Dichlorofluorescin diacetate</w:t>
                  </w:r>
                  <w:r w:rsidR="006E24B6" w:rsidRPr="006E24B6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Cs w:val="21"/>
                    </w:rPr>
                    <w:t xml:space="preserve">       </w:t>
                  </w:r>
                  <w:r w:rsidR="006E24B6" w:rsidRPr="00CE4FC7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6E24B6" w:rsidRPr="006E24B6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Cs w:val="21"/>
                    </w:rPr>
                    <w:t xml:space="preserve">            </w:t>
                  </w:r>
                  <w:r w:rsidR="0095425F" w:rsidRPr="006E24B6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Cs w:val="21"/>
                    </w:rPr>
                    <w:t xml:space="preserve">     </w:t>
                  </w: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Cs w:val="21"/>
                    </w:rPr>
                    <w:t xml:space="preserve">               </w:t>
                  </w:r>
                  <w:r w:rsidR="00703B07" w:rsidRPr="006E24B6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  <w:szCs w:val="28"/>
                    </w:rPr>
                    <w:t>M</w:t>
                  </w: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  <w:szCs w:val="28"/>
                    </w:rPr>
                    <w:t>F2309</w:t>
                  </w:r>
                </w:p>
              </w:txbxContent>
            </v:textbox>
          </v:shape>
        </w:pict>
      </w:r>
    </w:p>
    <w:p w:rsidR="00DF27D0" w:rsidRPr="00CE4FC7" w:rsidRDefault="006E24B6" w:rsidP="003A58DA">
      <w:pPr>
        <w:spacing w:line="480" w:lineRule="auto"/>
        <w:ind w:right="1400"/>
        <w:rPr>
          <w:rFonts w:ascii="Meiryo" w:hAnsi="Meiryo" w:cs="Meiryo"/>
          <w:b/>
          <w:bCs/>
          <w:color w:val="000000" w:themeColor="text1"/>
          <w:kern w:val="0"/>
          <w:sz w:val="28"/>
          <w:szCs w:val="28"/>
        </w:rPr>
      </w:pPr>
      <w:r w:rsidRPr="00CE4FC7">
        <w:rPr>
          <w:rFonts w:ascii="Meiryo" w:hAnsi="Meiryo" w:cs="Meiryo"/>
          <w:b/>
          <w:bCs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198755</wp:posOffset>
            </wp:positionV>
            <wp:extent cx="1276350" cy="571500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AA1" w:rsidRPr="00CE4FC7">
        <w:rPr>
          <w:rFonts w:ascii="Meiryo" w:hAnsi="Meiryo" w:cs="Meiryo"/>
          <w:b/>
          <w:bCs/>
          <w:noProof/>
          <w:color w:val="000000" w:themeColor="text1"/>
          <w:kern w:val="0"/>
          <w:sz w:val="28"/>
          <w:szCs w:val="28"/>
        </w:rPr>
        <w:pict>
          <v:shape id="_x0000_s2051" type="#_x0000_t202" style="position:absolute;left:0;text-align:left;margin-left:1.4pt;margin-top:14.75pt;width:427.05pt;height:36.9pt;z-index:251661312;mso-position-horizontal-relative:text;mso-position-vertical-relative:text;mso-width-relative:margin;mso-height-relative:margin" fillcolor="#002060" strokecolor="black [3213]" strokeweight="1.5pt">
            <v:textbox style="mso-next-textbox:#_x0000_s2051">
              <w:txbxContent>
                <w:p w:rsidR="00695F96" w:rsidRPr="00C37C0A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</w:t>
                    </w:r>
                    <w:r w:rsidRPr="00C51F22">
                      <w:rPr>
                        <w:rStyle w:val="a9"/>
                        <w:rFonts w:ascii="Arial" w:eastAsia="GeorgiaPro-CondSemiBold" w:hAnsi="Arial" w:cs="Arial" w:hint="eastAsia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mesgenbio</w:t>
                    </w:r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.com</w:t>
                    </w:r>
                  </w:hyperlink>
                  <w:r w:rsidR="00DF27D0" w:rsidRPr="00C51F22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 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E-mail 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mesgenbio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.com</w:t>
                  </w:r>
                </w:p>
              </w:txbxContent>
            </v:textbox>
          </v:shape>
        </w:pict>
      </w:r>
    </w:p>
    <w:p w:rsidR="00695F96" w:rsidRPr="00CE4FC7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color w:val="000000" w:themeColor="text1"/>
          <w:kern w:val="0"/>
          <w:sz w:val="28"/>
          <w:szCs w:val="28"/>
        </w:rPr>
      </w:pPr>
    </w:p>
    <w:p w:rsidR="002F7DBF" w:rsidRDefault="002F7DBF" w:rsidP="002F7DBF">
      <w:pPr>
        <w:widowControl/>
        <w:shd w:val="clear" w:color="auto" w:fill="FFFFFF"/>
        <w:spacing w:line="400" w:lineRule="exact"/>
        <w:jc w:val="left"/>
        <w:rPr>
          <w:rFonts w:ascii="Cambria" w:hAnsi="Cambria" w:hint="eastAsia"/>
          <w:color w:val="000000" w:themeColor="text1"/>
          <w:szCs w:val="21"/>
        </w:rPr>
      </w:pPr>
      <w:r w:rsidRPr="002F7DBF">
        <w:rPr>
          <w:rFonts w:ascii="Cambria" w:hAnsi="Cambria"/>
          <w:b/>
          <w:noProof/>
          <w:color w:val="000000" w:themeColor="text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3711525</wp:posOffset>
            </wp:positionH>
            <wp:positionV relativeFrom="paragraph">
              <wp:posOffset>175260</wp:posOffset>
            </wp:positionV>
            <wp:extent cx="2825165" cy="1943100"/>
            <wp:effectExtent l="19050" t="0" r="0" b="0"/>
            <wp:wrapNone/>
            <wp:docPr id="1" name="图片 1" descr="C:\Users\luoting\AppData\Roaming\Tencent\Users\106399756\QQ\WinTemp\RichOle\[@~0$EWCH5QD7[NRY0@96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oting\AppData\Roaming\Tencent\Users\106399756\QQ\WinTemp\RichOle\[@~0$EWCH5QD7[NRY0@96CU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6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DBF">
        <w:rPr>
          <w:rFonts w:ascii="Cambria" w:hAnsi="Cambria"/>
          <w:b/>
          <w:color w:val="000000" w:themeColor="text1"/>
          <w:szCs w:val="21"/>
        </w:rPr>
        <w:t>Synonym(s) : </w:t>
      </w:r>
      <w:r w:rsidRPr="002F7DBF">
        <w:rPr>
          <w:rFonts w:ascii="Cambria" w:hAnsi="Cambria"/>
          <w:color w:val="000000" w:themeColor="text1"/>
          <w:szCs w:val="21"/>
        </w:rPr>
        <w:t>DCFH-DA</w:t>
      </w:r>
    </w:p>
    <w:p w:rsidR="002F7DBF" w:rsidRPr="002F7DBF" w:rsidRDefault="002F7DBF" w:rsidP="002F7DBF">
      <w:pPr>
        <w:autoSpaceDE w:val="0"/>
        <w:autoSpaceDN w:val="0"/>
        <w:adjustRightInd w:val="0"/>
        <w:spacing w:line="400" w:lineRule="exact"/>
        <w:jc w:val="left"/>
        <w:rPr>
          <w:rFonts w:ascii="Cambria" w:hAnsi="Cambria"/>
          <w:b/>
          <w:noProof/>
          <w:color w:val="000000" w:themeColor="text1"/>
          <w:szCs w:val="21"/>
        </w:rPr>
      </w:pPr>
      <w:r w:rsidRPr="002F7DBF">
        <w:rPr>
          <w:rFonts w:ascii="Cambria" w:hAnsi="Cambria"/>
          <w:b/>
          <w:noProof/>
          <w:color w:val="000000" w:themeColor="text1"/>
          <w:szCs w:val="21"/>
        </w:rPr>
        <w:t>Appearance</w:t>
      </w:r>
      <w:r>
        <w:rPr>
          <w:rFonts w:ascii="Cambria" w:hAnsi="Cambria" w:hint="eastAsia"/>
          <w:b/>
          <w:noProof/>
          <w:color w:val="000000" w:themeColor="text1"/>
          <w:szCs w:val="21"/>
        </w:rPr>
        <w:t xml:space="preserve"> : </w:t>
      </w:r>
      <w:r w:rsidRPr="002F7DBF">
        <w:rPr>
          <w:rFonts w:ascii="Cambria" w:hAnsi="Cambria"/>
          <w:color w:val="000000" w:themeColor="text1"/>
          <w:szCs w:val="21"/>
        </w:rPr>
        <w:t>Powder</w:t>
      </w:r>
      <w:r w:rsidRPr="002F7DBF">
        <w:rPr>
          <w:rFonts w:ascii="Cambria" w:hAnsi="Cambria" w:hint="eastAsia"/>
          <w:color w:val="000000" w:themeColor="text1"/>
          <w:szCs w:val="21"/>
        </w:rPr>
        <w:t xml:space="preserve"> , </w:t>
      </w:r>
      <w:r w:rsidRPr="002F7DBF">
        <w:rPr>
          <w:rFonts w:ascii="Cambria" w:hAnsi="Cambria"/>
          <w:color w:val="000000" w:themeColor="text1"/>
          <w:szCs w:val="21"/>
        </w:rPr>
        <w:t>White to White w/ Yellow Cast</w:t>
      </w:r>
    </w:p>
    <w:p w:rsidR="002F7DBF" w:rsidRPr="00CE4FC7" w:rsidRDefault="002F7DBF" w:rsidP="002F7DBF">
      <w:pPr>
        <w:widowControl/>
        <w:shd w:val="clear" w:color="auto" w:fill="FFFFFF"/>
        <w:spacing w:line="400" w:lineRule="exact"/>
        <w:jc w:val="left"/>
        <w:rPr>
          <w:rFonts w:ascii="Cambria" w:hAnsi="Cambria"/>
          <w:color w:val="000000" w:themeColor="text1"/>
          <w:szCs w:val="21"/>
        </w:rPr>
      </w:pPr>
      <w:r w:rsidRPr="002F7DBF">
        <w:rPr>
          <w:rFonts w:ascii="Cambria" w:hAnsi="Cambria"/>
          <w:b/>
          <w:color w:val="000000" w:themeColor="text1"/>
          <w:szCs w:val="21"/>
        </w:rPr>
        <w:t>Purity (TLC) </w:t>
      </w:r>
      <w:r w:rsidRPr="002F7DBF">
        <w:rPr>
          <w:rFonts w:ascii="Cambria" w:hAnsi="Cambria"/>
          <w:color w:val="000000" w:themeColor="text1"/>
          <w:szCs w:val="21"/>
        </w:rPr>
        <w:t>≥ 97.0%</w:t>
      </w:r>
    </w:p>
    <w:p w:rsidR="002F7DBF" w:rsidRDefault="00CE4FC7" w:rsidP="002F7DBF">
      <w:pPr>
        <w:widowControl/>
        <w:shd w:val="clear" w:color="auto" w:fill="FFFFFF"/>
        <w:spacing w:line="400" w:lineRule="exact"/>
        <w:jc w:val="left"/>
        <w:rPr>
          <w:rFonts w:ascii="Cambria" w:hAnsi="Cambria" w:hint="eastAsia"/>
          <w:color w:val="000000" w:themeColor="text1"/>
          <w:szCs w:val="21"/>
        </w:rPr>
      </w:pPr>
      <w:r w:rsidRPr="002F7DBF">
        <w:rPr>
          <w:rFonts w:ascii="Cambria" w:hAnsi="Cambria"/>
          <w:b/>
          <w:color w:val="000000" w:themeColor="text1"/>
          <w:szCs w:val="21"/>
        </w:rPr>
        <w:t xml:space="preserve">CAS Number : </w:t>
      </w:r>
      <w:r w:rsidRPr="002F7DBF">
        <w:rPr>
          <w:rFonts w:ascii="Cambria" w:hAnsi="Cambria"/>
          <w:color w:val="000000" w:themeColor="text1"/>
          <w:szCs w:val="21"/>
        </w:rPr>
        <w:t>4091-99-0</w:t>
      </w:r>
    </w:p>
    <w:p w:rsidR="002F7DBF" w:rsidRPr="002F7DBF" w:rsidRDefault="002F7DBF" w:rsidP="002F7DBF">
      <w:pPr>
        <w:widowControl/>
        <w:shd w:val="clear" w:color="auto" w:fill="FFFFFF"/>
        <w:spacing w:line="400" w:lineRule="exact"/>
        <w:jc w:val="left"/>
        <w:rPr>
          <w:rFonts w:ascii="Cambria" w:hAnsi="Cambria"/>
          <w:color w:val="000000" w:themeColor="text1"/>
          <w:szCs w:val="21"/>
        </w:rPr>
      </w:pPr>
      <w:r w:rsidRPr="002F7DBF">
        <w:rPr>
          <w:rFonts w:ascii="Cambria" w:hAnsi="Cambria"/>
          <w:b/>
          <w:color w:val="000000" w:themeColor="text1"/>
          <w:szCs w:val="21"/>
        </w:rPr>
        <w:t>Beilstein Registry Number</w:t>
      </w:r>
      <w:r w:rsidRPr="002F7DBF">
        <w:rPr>
          <w:rFonts w:ascii="Cambria" w:hAnsi="Cambria" w:hint="eastAsia"/>
          <w:b/>
          <w:color w:val="000000" w:themeColor="text1"/>
          <w:szCs w:val="21"/>
        </w:rPr>
        <w:t xml:space="preserve"> : </w:t>
      </w:r>
      <w:r>
        <w:rPr>
          <w:rFonts w:ascii="Cambria" w:hAnsi="Cambria"/>
          <w:color w:val="000000" w:themeColor="text1"/>
          <w:szCs w:val="21"/>
        </w:rPr>
        <w:t>4610273</w:t>
      </w:r>
    </w:p>
    <w:p w:rsidR="002F7DBF" w:rsidRPr="002F7DBF" w:rsidRDefault="002F7DBF" w:rsidP="002F7DBF">
      <w:pPr>
        <w:widowControl/>
        <w:shd w:val="clear" w:color="auto" w:fill="FFFFFF"/>
        <w:spacing w:line="400" w:lineRule="exact"/>
        <w:jc w:val="left"/>
        <w:rPr>
          <w:rFonts w:ascii="Cambria" w:hAnsi="Cambria"/>
          <w:color w:val="000000" w:themeColor="text1"/>
          <w:szCs w:val="21"/>
        </w:rPr>
      </w:pPr>
      <w:r w:rsidRPr="002F7DBF">
        <w:rPr>
          <w:rFonts w:ascii="Cambria" w:hAnsi="Cambria"/>
          <w:b/>
          <w:color w:val="000000" w:themeColor="text1"/>
          <w:szCs w:val="21"/>
        </w:rPr>
        <w:t>MDL number</w:t>
      </w:r>
      <w:r w:rsidRPr="002F7DBF">
        <w:rPr>
          <w:rFonts w:ascii="Cambria" w:hAnsi="Cambria" w:hint="eastAsia"/>
          <w:b/>
          <w:color w:val="000000" w:themeColor="text1"/>
          <w:szCs w:val="21"/>
        </w:rPr>
        <w:t xml:space="preserve"> : </w:t>
      </w:r>
      <w:r>
        <w:rPr>
          <w:rFonts w:ascii="Cambria" w:hAnsi="Cambria"/>
          <w:color w:val="000000" w:themeColor="text1"/>
          <w:szCs w:val="21"/>
        </w:rPr>
        <w:t>MFCD00128955</w:t>
      </w:r>
    </w:p>
    <w:p w:rsidR="002F7DBF" w:rsidRPr="002F7DBF" w:rsidRDefault="00CE4FC7" w:rsidP="002F7DBF">
      <w:pPr>
        <w:widowControl/>
        <w:shd w:val="clear" w:color="auto" w:fill="FFFFFF"/>
        <w:spacing w:line="400" w:lineRule="exact"/>
        <w:jc w:val="left"/>
        <w:rPr>
          <w:rFonts w:ascii="Cambria" w:hAnsi="Cambria"/>
          <w:color w:val="000000" w:themeColor="text1"/>
          <w:szCs w:val="21"/>
        </w:rPr>
      </w:pPr>
      <w:r w:rsidRPr="002F7DBF">
        <w:rPr>
          <w:rFonts w:ascii="Cambria" w:hAnsi="Cambria"/>
          <w:b/>
          <w:color w:val="000000" w:themeColor="text1"/>
          <w:szCs w:val="21"/>
        </w:rPr>
        <w:t>Molecular Weight : </w:t>
      </w:r>
      <w:r w:rsidRPr="002F7DBF">
        <w:rPr>
          <w:rFonts w:ascii="Cambria" w:hAnsi="Cambria"/>
          <w:color w:val="000000" w:themeColor="text1"/>
          <w:szCs w:val="21"/>
        </w:rPr>
        <w:t>487.29</w:t>
      </w:r>
      <w:r w:rsidR="002F7DBF" w:rsidRPr="002F7DBF">
        <w:rPr>
          <w:rFonts w:ascii="Cambria" w:hAnsi="Cambria"/>
          <w:color w:val="000000" w:themeColor="text1"/>
          <w:szCs w:val="21"/>
        </w:rPr>
        <w:t xml:space="preserve"> </w:t>
      </w:r>
    </w:p>
    <w:p w:rsidR="00CE4FC7" w:rsidRPr="00CE4FC7" w:rsidRDefault="00CE4FC7" w:rsidP="002F7DBF">
      <w:pPr>
        <w:widowControl/>
        <w:shd w:val="clear" w:color="auto" w:fill="FFFFFF"/>
        <w:spacing w:line="400" w:lineRule="exact"/>
        <w:jc w:val="left"/>
        <w:rPr>
          <w:rFonts w:ascii="Cambria" w:hAnsi="Cambria"/>
          <w:color w:val="000000" w:themeColor="text1"/>
          <w:szCs w:val="21"/>
        </w:rPr>
      </w:pPr>
      <w:r w:rsidRPr="002F7DBF">
        <w:rPr>
          <w:rFonts w:ascii="Cambria" w:hAnsi="Cambria"/>
          <w:b/>
          <w:color w:val="000000" w:themeColor="text1"/>
          <w:szCs w:val="21"/>
        </w:rPr>
        <w:t>Molecular Formula :</w:t>
      </w:r>
      <w:r w:rsidRPr="002F7DBF">
        <w:rPr>
          <w:rFonts w:ascii="Cambria" w:hAnsi="Cambria"/>
          <w:color w:val="000000" w:themeColor="text1"/>
          <w:szCs w:val="21"/>
        </w:rPr>
        <w:t> C24H16Cl2O7</w:t>
      </w:r>
    </w:p>
    <w:p w:rsidR="00CE4FC7" w:rsidRPr="002F7DBF" w:rsidRDefault="00CE4FC7" w:rsidP="002F7DBF">
      <w:pPr>
        <w:pStyle w:val="aa"/>
        <w:spacing w:before="0" w:beforeAutospacing="0" w:after="0" w:afterAutospacing="0" w:line="400" w:lineRule="exact"/>
        <w:rPr>
          <w:rFonts w:ascii="Cambria" w:hAnsi="Cambria" w:cs="Arial"/>
          <w:color w:val="000000" w:themeColor="text1"/>
          <w:sz w:val="21"/>
          <w:szCs w:val="21"/>
        </w:rPr>
      </w:pPr>
      <w:r w:rsidRPr="002F7DBF">
        <w:rPr>
          <w:rFonts w:ascii="Cambria" w:hAnsi="Cambria" w:cs="Arial"/>
          <w:b/>
          <w:color w:val="000000" w:themeColor="text1"/>
          <w:sz w:val="21"/>
          <w:szCs w:val="21"/>
        </w:rPr>
        <w:t>Ex (nm)</w:t>
      </w:r>
      <w:r w:rsidR="002F7DBF" w:rsidRPr="002F7DBF">
        <w:rPr>
          <w:rFonts w:ascii="Cambria" w:hAnsi="Cambria" w:cs="Arial"/>
          <w:b/>
          <w:color w:val="000000" w:themeColor="text1"/>
          <w:sz w:val="21"/>
          <w:szCs w:val="21"/>
        </w:rPr>
        <w:t xml:space="preserve"> </w:t>
      </w:r>
      <w:r w:rsidRPr="002F7DBF">
        <w:rPr>
          <w:rFonts w:ascii="Cambria" w:hAnsi="Cambria" w:cs="Arial"/>
          <w:b/>
          <w:color w:val="000000" w:themeColor="text1"/>
          <w:sz w:val="21"/>
          <w:szCs w:val="21"/>
        </w:rPr>
        <w:t>:  </w:t>
      </w:r>
      <w:r w:rsidRPr="002F7DBF">
        <w:rPr>
          <w:rFonts w:ascii="Cambria" w:hAnsi="Cambria" w:cs="Arial"/>
          <w:color w:val="000000" w:themeColor="text1"/>
          <w:sz w:val="21"/>
          <w:szCs w:val="21"/>
        </w:rPr>
        <w:t xml:space="preserve">504    </w:t>
      </w:r>
      <w:r w:rsidRPr="002F7DBF">
        <w:rPr>
          <w:rFonts w:ascii="Cambria" w:hAnsi="Cambria" w:cs="Arial"/>
          <w:b/>
          <w:color w:val="000000" w:themeColor="text1"/>
          <w:sz w:val="21"/>
          <w:szCs w:val="21"/>
        </w:rPr>
        <w:t>Em (nm)</w:t>
      </w:r>
      <w:r w:rsidR="002F7DBF" w:rsidRPr="002F7DBF">
        <w:rPr>
          <w:rFonts w:ascii="Cambria" w:hAnsi="Cambria" w:cs="Arial"/>
          <w:b/>
          <w:color w:val="000000" w:themeColor="text1"/>
          <w:sz w:val="21"/>
          <w:szCs w:val="21"/>
        </w:rPr>
        <w:t xml:space="preserve"> </w:t>
      </w:r>
      <w:r w:rsidRPr="002F7DBF">
        <w:rPr>
          <w:rFonts w:ascii="Cambria" w:hAnsi="Cambria" w:cs="Arial"/>
          <w:b/>
          <w:color w:val="000000" w:themeColor="text1"/>
          <w:sz w:val="21"/>
          <w:szCs w:val="21"/>
        </w:rPr>
        <w:t>:</w:t>
      </w:r>
      <w:r w:rsidRPr="002F7DBF">
        <w:rPr>
          <w:rFonts w:ascii="Cambria" w:hAnsi="Cambria" w:cs="Arial"/>
          <w:color w:val="000000" w:themeColor="text1"/>
          <w:sz w:val="21"/>
          <w:szCs w:val="21"/>
        </w:rPr>
        <w:t xml:space="preserve"> 529</w:t>
      </w:r>
    </w:p>
    <w:p w:rsidR="00CE4FC7" w:rsidRPr="002F7DBF" w:rsidRDefault="00CE4FC7" w:rsidP="002F7DBF">
      <w:pPr>
        <w:widowControl/>
        <w:shd w:val="clear" w:color="auto" w:fill="FFFFFF"/>
        <w:spacing w:line="400" w:lineRule="exact"/>
        <w:rPr>
          <w:rStyle w:val="a7"/>
          <w:rFonts w:ascii="Cambria" w:hAnsi="Cambria" w:cs="Arial"/>
          <w:color w:val="000000" w:themeColor="text1"/>
          <w:szCs w:val="21"/>
          <w:shd w:val="clear" w:color="auto" w:fill="FFFFFF"/>
        </w:rPr>
      </w:pPr>
    </w:p>
    <w:p w:rsidR="00CE4FC7" w:rsidRPr="002F7DBF" w:rsidRDefault="00CE4FC7" w:rsidP="002F7DBF">
      <w:pPr>
        <w:widowControl/>
        <w:shd w:val="clear" w:color="auto" w:fill="FFFFFF"/>
        <w:spacing w:line="400" w:lineRule="exact"/>
        <w:rPr>
          <w:rStyle w:val="a7"/>
          <w:rFonts w:ascii="Cambria" w:hAnsi="Cambria" w:cs="Arial"/>
          <w:color w:val="000000" w:themeColor="text1"/>
          <w:szCs w:val="21"/>
          <w:shd w:val="clear" w:color="auto" w:fill="FFFFFF"/>
        </w:rPr>
      </w:pPr>
      <w:r w:rsidRPr="002F7DBF">
        <w:rPr>
          <w:rStyle w:val="a7"/>
          <w:rFonts w:ascii="Cambria" w:hAnsi="Cambria" w:cs="Arial"/>
          <w:color w:val="000000" w:themeColor="text1"/>
          <w:szCs w:val="21"/>
          <w:shd w:val="clear" w:color="auto" w:fill="FFFFFF"/>
        </w:rPr>
        <w:t>Description</w:t>
      </w:r>
    </w:p>
    <w:p w:rsidR="00CE4FC7" w:rsidRPr="002F7DBF" w:rsidRDefault="00CE4FC7" w:rsidP="002F7DBF">
      <w:pPr>
        <w:widowControl/>
        <w:shd w:val="clear" w:color="auto" w:fill="FFFFFF"/>
        <w:spacing w:line="400" w:lineRule="exact"/>
        <w:rPr>
          <w:rFonts w:ascii="Cambria" w:hAnsi="Cambria"/>
          <w:color w:val="000000" w:themeColor="text1"/>
          <w:szCs w:val="21"/>
        </w:rPr>
      </w:pPr>
      <w:r w:rsidRPr="002F7DBF">
        <w:rPr>
          <w:rFonts w:ascii="Cambria" w:hAnsi="Cambria"/>
          <w:color w:val="000000" w:themeColor="text1"/>
          <w:szCs w:val="21"/>
        </w:rPr>
        <w:t>2′,7′-Dichlorofluorescin diacetate is a cell-permeable non-fluorescent probe. 2′,7′-Dichlorofluorescin diacetate is de-esterified intracellularly and turns to highly fluorescent 2′,7′-dichlorofluorescein upon oxidation.</w:t>
      </w:r>
      <w:r w:rsidRPr="002F7DBF">
        <w:rPr>
          <w:rFonts w:ascii="Cambria" w:hAnsi="Cambria"/>
          <w:color w:val="000000" w:themeColor="text1"/>
          <w:szCs w:val="21"/>
        </w:rPr>
        <w:br/>
        <w:t>Applications include sensitive and rapid quantitation of oxygen-reactive species in response to oxidative metabolism; microplate assay for detecting oxidative products in phagocytic cells, and quantitative multiwell myeloid differentiation assay.</w:t>
      </w:r>
    </w:p>
    <w:p w:rsidR="00CE4FC7" w:rsidRPr="002F7DBF" w:rsidRDefault="00CE4FC7" w:rsidP="002F7DBF">
      <w:pPr>
        <w:widowControl/>
        <w:shd w:val="clear" w:color="auto" w:fill="FFFFFF"/>
        <w:spacing w:line="400" w:lineRule="exact"/>
        <w:rPr>
          <w:rFonts w:ascii="Cambria" w:hAnsi="Cambria"/>
          <w:color w:val="000000" w:themeColor="text1"/>
          <w:szCs w:val="21"/>
        </w:rPr>
      </w:pPr>
    </w:p>
    <w:p w:rsidR="002F7DBF" w:rsidRPr="002F7DBF" w:rsidRDefault="002F7DBF" w:rsidP="002F7DBF">
      <w:pPr>
        <w:widowControl/>
        <w:shd w:val="clear" w:color="auto" w:fill="FFFFFF"/>
        <w:spacing w:line="400" w:lineRule="exact"/>
        <w:rPr>
          <w:rFonts w:ascii="Cambria" w:hAnsi="Cambria" w:cs="Arial"/>
          <w:color w:val="331515"/>
          <w:szCs w:val="21"/>
        </w:rPr>
      </w:pPr>
      <w:r w:rsidRPr="002F7DBF">
        <w:rPr>
          <w:rStyle w:val="a7"/>
          <w:rFonts w:ascii="Cambria" w:hAnsi="Cambria" w:cs="Arial"/>
          <w:color w:val="000000" w:themeColor="text1"/>
          <w:szCs w:val="21"/>
          <w:shd w:val="clear" w:color="auto" w:fill="FFFFFF"/>
        </w:rPr>
        <w:t>Solvent &amp; Solubility</w:t>
      </w:r>
    </w:p>
    <w:p w:rsidR="00CE4FC7" w:rsidRPr="002F7DBF" w:rsidRDefault="002F7DBF" w:rsidP="002F7DBF">
      <w:pPr>
        <w:widowControl/>
        <w:shd w:val="clear" w:color="auto" w:fill="FFFFFF"/>
        <w:spacing w:line="400" w:lineRule="exact"/>
        <w:rPr>
          <w:rFonts w:ascii="Cambria" w:hAnsi="Cambria" w:cs="Arial"/>
          <w:color w:val="331515"/>
          <w:szCs w:val="21"/>
        </w:rPr>
      </w:pPr>
      <w:r w:rsidRPr="002F7DBF">
        <w:rPr>
          <w:rFonts w:ascii="Cambria" w:hAnsi="Cambria" w:cs="Arial"/>
          <w:color w:val="331515"/>
          <w:szCs w:val="21"/>
        </w:rPr>
        <w:t>DMSO: ≥ 150 mg/mL</w:t>
      </w:r>
    </w:p>
    <w:p w:rsidR="00CE4FC7" w:rsidRPr="002F7DBF" w:rsidRDefault="00CE4FC7" w:rsidP="002F7DBF">
      <w:pPr>
        <w:widowControl/>
        <w:shd w:val="clear" w:color="auto" w:fill="FFFFFF"/>
        <w:spacing w:line="400" w:lineRule="exact"/>
        <w:rPr>
          <w:rFonts w:ascii="Cambria" w:hAnsi="Cambria"/>
          <w:color w:val="000000" w:themeColor="text1"/>
          <w:szCs w:val="21"/>
        </w:rPr>
      </w:pPr>
    </w:p>
    <w:p w:rsidR="00CE4FC7" w:rsidRPr="002F7DBF" w:rsidRDefault="00CE4FC7" w:rsidP="002F7DBF">
      <w:pPr>
        <w:widowControl/>
        <w:shd w:val="clear" w:color="auto" w:fill="FFFFFF"/>
        <w:spacing w:line="400" w:lineRule="exact"/>
        <w:rPr>
          <w:rStyle w:val="a7"/>
          <w:rFonts w:ascii="Cambria" w:hAnsi="Cambria" w:cs="Arial"/>
          <w:color w:val="000000" w:themeColor="text1"/>
          <w:szCs w:val="21"/>
          <w:shd w:val="clear" w:color="auto" w:fill="FFFFFF"/>
        </w:rPr>
      </w:pPr>
      <w:r w:rsidRPr="002F7DBF">
        <w:rPr>
          <w:rStyle w:val="a7"/>
          <w:rFonts w:ascii="Cambria" w:hAnsi="Cambria"/>
          <w:bCs w:val="0"/>
          <w:color w:val="000000" w:themeColor="text1"/>
          <w:szCs w:val="21"/>
          <w:shd w:val="clear" w:color="auto" w:fill="FFFFFF"/>
        </w:rPr>
        <w:t>Storage condition</w:t>
      </w:r>
    </w:p>
    <w:p w:rsidR="00CE4FC7" w:rsidRPr="002F7DBF" w:rsidRDefault="00CE4FC7" w:rsidP="002F7DBF">
      <w:pPr>
        <w:widowControl/>
        <w:shd w:val="clear" w:color="auto" w:fill="FFFFFF"/>
        <w:spacing w:line="400" w:lineRule="exact"/>
        <w:rPr>
          <w:rFonts w:ascii="Cambria" w:eastAsia="微软雅黑" w:hAnsi="Cambria" w:cs="Arial"/>
          <w:b/>
          <w:color w:val="000000" w:themeColor="text1"/>
          <w:kern w:val="0"/>
          <w:szCs w:val="21"/>
        </w:rPr>
      </w:pPr>
      <w:r w:rsidRPr="002F7DBF">
        <w:rPr>
          <w:rFonts w:ascii="Cambria" w:hAnsi="Cambria"/>
          <w:color w:val="000000" w:themeColor="text1"/>
          <w:szCs w:val="21"/>
        </w:rPr>
        <w:t>−20°C</w:t>
      </w:r>
    </w:p>
    <w:p w:rsidR="00CE4FC7" w:rsidRPr="002F7DBF" w:rsidRDefault="00CE4FC7" w:rsidP="002F7DBF">
      <w:pPr>
        <w:widowControl/>
        <w:shd w:val="clear" w:color="auto" w:fill="FFFFFF"/>
        <w:spacing w:line="400" w:lineRule="exact"/>
        <w:jc w:val="center"/>
        <w:rPr>
          <w:rFonts w:ascii="Cambria" w:eastAsia="微软雅黑" w:hAnsi="Cambria" w:cs="Arial"/>
          <w:b/>
          <w:color w:val="000000" w:themeColor="text1"/>
          <w:kern w:val="0"/>
          <w:szCs w:val="21"/>
        </w:rPr>
      </w:pPr>
    </w:p>
    <w:p w:rsidR="00CE4FC7" w:rsidRPr="002F7DBF" w:rsidRDefault="00CE4FC7" w:rsidP="002F7DBF">
      <w:pPr>
        <w:widowControl/>
        <w:shd w:val="clear" w:color="auto" w:fill="FFFFFF"/>
        <w:spacing w:line="400" w:lineRule="exact"/>
        <w:jc w:val="center"/>
        <w:rPr>
          <w:rFonts w:ascii="Cambria" w:eastAsia="微软雅黑" w:hAnsi="Cambria" w:cs="Arial"/>
          <w:b/>
          <w:color w:val="000000" w:themeColor="text1"/>
          <w:kern w:val="0"/>
          <w:szCs w:val="21"/>
        </w:rPr>
      </w:pPr>
    </w:p>
    <w:p w:rsidR="00623478" w:rsidRPr="002F7DBF" w:rsidRDefault="00CE4FC7" w:rsidP="002F7DBF">
      <w:pPr>
        <w:widowControl/>
        <w:shd w:val="clear" w:color="auto" w:fill="FFFFFF"/>
        <w:spacing w:line="400" w:lineRule="exact"/>
        <w:jc w:val="center"/>
        <w:rPr>
          <w:rFonts w:ascii="Cambria" w:eastAsia="微软雅黑" w:hAnsi="Cambria" w:cs="Arial"/>
          <w:b/>
          <w:color w:val="000000" w:themeColor="text1"/>
          <w:kern w:val="0"/>
          <w:szCs w:val="21"/>
        </w:rPr>
      </w:pPr>
      <w:r w:rsidRPr="002F7DBF">
        <w:rPr>
          <w:rStyle w:val="a7"/>
          <w:rFonts w:ascii="Cambria" w:hAnsi="Cambria" w:cs="Arial"/>
          <w:color w:val="000000" w:themeColor="text1"/>
          <w:szCs w:val="21"/>
          <w:shd w:val="clear" w:color="auto" w:fill="FFFFFF"/>
        </w:rPr>
        <w:t>For Research Use Only. Not For Use In Diagnostic Procedures.</w:t>
      </w:r>
    </w:p>
    <w:sectPr w:rsidR="00623478" w:rsidRPr="002F7DBF" w:rsidSect="00071EFE">
      <w:footerReference w:type="default" r:id="rId10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1D" w:rsidRDefault="00A2021D" w:rsidP="0065435B">
      <w:r>
        <w:separator/>
      </w:r>
    </w:p>
  </w:endnote>
  <w:endnote w:type="continuationSeparator" w:id="1">
    <w:p w:rsidR="00A2021D" w:rsidRDefault="00A2021D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7C6AA1">
        <w:pPr>
          <w:pStyle w:val="a4"/>
          <w:jc w:val="right"/>
        </w:pPr>
        <w:fldSimple w:instr=" PAGE   \* MERGEFORMAT ">
          <w:r w:rsidR="002F7DBF" w:rsidRPr="002F7DBF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r w:rsidRPr="009C516F">
      <w:rPr>
        <w:rFonts w:ascii="Arial" w:hAnsi="Arial" w:cs="Arial"/>
      </w:rPr>
      <w:t>MesGen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1D" w:rsidRDefault="00A2021D" w:rsidP="0065435B">
      <w:r>
        <w:separator/>
      </w:r>
    </w:p>
  </w:footnote>
  <w:footnote w:type="continuationSeparator" w:id="1">
    <w:p w:rsidR="00A2021D" w:rsidRDefault="00A2021D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6ECA"/>
    <w:multiLevelType w:val="multilevel"/>
    <w:tmpl w:val="1E78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9850A7"/>
    <w:multiLevelType w:val="hybridMultilevel"/>
    <w:tmpl w:val="55749FB0"/>
    <w:lvl w:ilvl="0" w:tplc="64BE59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746671"/>
    <w:multiLevelType w:val="hybridMultilevel"/>
    <w:tmpl w:val="BE80A69C"/>
    <w:lvl w:ilvl="0" w:tplc="00B69F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530CD"/>
    <w:rsid w:val="00054E3E"/>
    <w:rsid w:val="00066E60"/>
    <w:rsid w:val="00071EFE"/>
    <w:rsid w:val="000A1EAA"/>
    <w:rsid w:val="000A4EB5"/>
    <w:rsid w:val="000A61A3"/>
    <w:rsid w:val="000B7599"/>
    <w:rsid w:val="000E4C23"/>
    <w:rsid w:val="00102361"/>
    <w:rsid w:val="00122388"/>
    <w:rsid w:val="00127CAE"/>
    <w:rsid w:val="00130ACE"/>
    <w:rsid w:val="00143960"/>
    <w:rsid w:val="00175F6C"/>
    <w:rsid w:val="001958C9"/>
    <w:rsid w:val="001A3463"/>
    <w:rsid w:val="002065EC"/>
    <w:rsid w:val="00242399"/>
    <w:rsid w:val="002B3D13"/>
    <w:rsid w:val="002B464F"/>
    <w:rsid w:val="002D5E46"/>
    <w:rsid w:val="002F467D"/>
    <w:rsid w:val="002F7DBF"/>
    <w:rsid w:val="00311F60"/>
    <w:rsid w:val="00371A2F"/>
    <w:rsid w:val="00397857"/>
    <w:rsid w:val="003A58DA"/>
    <w:rsid w:val="003D1676"/>
    <w:rsid w:val="00402C8B"/>
    <w:rsid w:val="00474083"/>
    <w:rsid w:val="00475678"/>
    <w:rsid w:val="0049205D"/>
    <w:rsid w:val="004C4CBE"/>
    <w:rsid w:val="004D158E"/>
    <w:rsid w:val="00523F89"/>
    <w:rsid w:val="00552AD6"/>
    <w:rsid w:val="005D4CF8"/>
    <w:rsid w:val="005F29D0"/>
    <w:rsid w:val="00623478"/>
    <w:rsid w:val="00643D37"/>
    <w:rsid w:val="0065283E"/>
    <w:rsid w:val="0065435B"/>
    <w:rsid w:val="00690FB9"/>
    <w:rsid w:val="00695F96"/>
    <w:rsid w:val="006A0154"/>
    <w:rsid w:val="006E24B6"/>
    <w:rsid w:val="006E5715"/>
    <w:rsid w:val="00703B07"/>
    <w:rsid w:val="0072331A"/>
    <w:rsid w:val="00754FC0"/>
    <w:rsid w:val="0077383D"/>
    <w:rsid w:val="00782BF5"/>
    <w:rsid w:val="007A48A9"/>
    <w:rsid w:val="007C6AA1"/>
    <w:rsid w:val="007D53E9"/>
    <w:rsid w:val="0081380C"/>
    <w:rsid w:val="00883559"/>
    <w:rsid w:val="008906ED"/>
    <w:rsid w:val="008B194E"/>
    <w:rsid w:val="008B5A6C"/>
    <w:rsid w:val="008C7578"/>
    <w:rsid w:val="008E575D"/>
    <w:rsid w:val="00902748"/>
    <w:rsid w:val="00904D45"/>
    <w:rsid w:val="0095425F"/>
    <w:rsid w:val="009548B6"/>
    <w:rsid w:val="00960F00"/>
    <w:rsid w:val="009A5908"/>
    <w:rsid w:val="009C516F"/>
    <w:rsid w:val="009E39D2"/>
    <w:rsid w:val="00A2021D"/>
    <w:rsid w:val="00A34E28"/>
    <w:rsid w:val="00A42706"/>
    <w:rsid w:val="00A42A9B"/>
    <w:rsid w:val="00A75227"/>
    <w:rsid w:val="00AD1737"/>
    <w:rsid w:val="00AD3BF8"/>
    <w:rsid w:val="00B0333C"/>
    <w:rsid w:val="00BF6949"/>
    <w:rsid w:val="00C37C0A"/>
    <w:rsid w:val="00C51F22"/>
    <w:rsid w:val="00C6161A"/>
    <w:rsid w:val="00CC1555"/>
    <w:rsid w:val="00CE4FC7"/>
    <w:rsid w:val="00CF0ABF"/>
    <w:rsid w:val="00D41D37"/>
    <w:rsid w:val="00D77AE7"/>
    <w:rsid w:val="00DB7A57"/>
    <w:rsid w:val="00DF1928"/>
    <w:rsid w:val="00DF27D0"/>
    <w:rsid w:val="00E740A0"/>
    <w:rsid w:val="00E76797"/>
    <w:rsid w:val="00EA0B4D"/>
    <w:rsid w:val="00F205CE"/>
    <w:rsid w:val="00F63D00"/>
    <w:rsid w:val="00F944FB"/>
    <w:rsid w:val="00F9744D"/>
    <w:rsid w:val="00FD7459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CE4F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14</cp:revision>
  <cp:lastPrinted>2017-06-23T13:16:00Z</cp:lastPrinted>
  <dcterms:created xsi:type="dcterms:W3CDTF">2016-07-08T02:33:00Z</dcterms:created>
  <dcterms:modified xsi:type="dcterms:W3CDTF">2017-12-03T03:17:00Z</dcterms:modified>
</cp:coreProperties>
</file>