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4D598B"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294.3pt;height:64.25pt;z-index:251660288;mso-width-relative:margin;mso-height-relative:margin" fillcolor="#0f243e [1615]" strokecolor="black [3213]" strokeweight="1.5pt">
            <v:textbox style="mso-next-textbox:#_x0000_s2050">
              <w:txbxContent>
                <w:p w:rsidR="00763F48" w:rsidRDefault="004D598B" w:rsidP="001E54F8">
                  <w:pPr>
                    <w:autoSpaceDE w:val="0"/>
                    <w:autoSpaceDN w:val="0"/>
                    <w:adjustRightInd w:val="0"/>
                    <w:jc w:val="left"/>
                    <w:rPr>
                      <w:rFonts w:ascii="Cambria" w:hAnsi="Cambria" w:cs="Calibri" w:hint="eastAsia"/>
                      <w:b/>
                      <w:bCs/>
                      <w:color w:val="FFFFFF" w:themeColor="background1"/>
                      <w:kern w:val="0"/>
                      <w:sz w:val="32"/>
                      <w:szCs w:val="32"/>
                    </w:rPr>
                  </w:pPr>
                  <w:r>
                    <w:rPr>
                      <w:rFonts w:ascii="Cambria" w:hAnsi="Cambria" w:cs="Calibri"/>
                      <w:b/>
                      <w:bCs/>
                      <w:color w:val="FFFFFF" w:themeColor="background1"/>
                      <w:kern w:val="0"/>
                      <w:sz w:val="32"/>
                      <w:szCs w:val="32"/>
                    </w:rPr>
                    <w:t>Dual</w:t>
                  </w:r>
                  <w:r>
                    <w:rPr>
                      <w:rFonts w:ascii="Cambria" w:hAnsi="Cambria" w:cs="Calibri" w:hint="eastAsia"/>
                      <w:b/>
                      <w:bCs/>
                      <w:color w:val="FFFFFF" w:themeColor="background1"/>
                      <w:kern w:val="0"/>
                      <w:sz w:val="32"/>
                      <w:szCs w:val="32"/>
                    </w:rPr>
                    <w:t>-</w:t>
                  </w:r>
                  <w:r w:rsidRPr="004D598B">
                    <w:rPr>
                      <w:rFonts w:ascii="Cambria" w:hAnsi="Cambria" w:cs="Calibri"/>
                      <w:b/>
                      <w:bCs/>
                      <w:color w:val="FFFFFF" w:themeColor="background1"/>
                      <w:kern w:val="0"/>
                      <w:sz w:val="32"/>
                      <w:szCs w:val="32"/>
                    </w:rPr>
                    <w:t>Luciferase Reporter Assay Kit</w:t>
                  </w:r>
                  <w:r>
                    <w:rPr>
                      <w:rFonts w:ascii="Cambria" w:hAnsi="Cambria" w:cs="Calibri" w:hint="eastAsia"/>
                      <w:b/>
                      <w:bCs/>
                      <w:color w:val="FFFFFF" w:themeColor="background1"/>
                      <w:kern w:val="0"/>
                      <w:sz w:val="32"/>
                      <w:szCs w:val="32"/>
                    </w:rPr>
                    <w:t xml:space="preserve">               </w:t>
                  </w:r>
                </w:p>
                <w:p w:rsidR="005D4CF8" w:rsidRPr="00794A92" w:rsidRDefault="004D598B" w:rsidP="001E54F8">
                  <w:pPr>
                    <w:autoSpaceDE w:val="0"/>
                    <w:autoSpaceDN w:val="0"/>
                    <w:adjustRightInd w:val="0"/>
                    <w:jc w:val="left"/>
                    <w:rPr>
                      <w:rFonts w:ascii="Cambria" w:eastAsia="HYb2gj" w:hAnsi="Cambria" w:cs="Calibri" w:hint="eastAsia"/>
                      <w:kern w:val="0"/>
                      <w:sz w:val="28"/>
                      <w:szCs w:val="28"/>
                    </w:rPr>
                  </w:pPr>
                  <w:r>
                    <w:rPr>
                      <w:rFonts w:ascii="Cambria" w:hAnsi="Cambria" w:cs="Calibri" w:hint="eastAsia"/>
                      <w:b/>
                      <w:bCs/>
                      <w:color w:val="FFFFFF" w:themeColor="background1"/>
                      <w:kern w:val="0"/>
                      <w:sz w:val="32"/>
                      <w:szCs w:val="32"/>
                    </w:rPr>
                    <w:t>Cat.No.MG5520</w:t>
                  </w:r>
                </w:p>
                <w:p w:rsidR="00695F96" w:rsidRPr="00DF27D0" w:rsidRDefault="00695F96" w:rsidP="00DF27D0">
                  <w:pPr>
                    <w:autoSpaceDE w:val="0"/>
                    <w:autoSpaceDN w:val="0"/>
                    <w:adjustRightInd w:val="0"/>
                    <w:jc w:val="left"/>
                    <w:rPr>
                      <w:rFonts w:ascii="Arial" w:hAnsi="Arial" w:cs="Arial"/>
                      <w:b/>
                      <w:color w:val="FFFFFF" w:themeColor="background1"/>
                      <w:sz w:val="30"/>
                      <w:szCs w:val="30"/>
                    </w:rPr>
                  </w:pPr>
                </w:p>
              </w:txbxContent>
            </v:textbox>
          </v:shape>
        </w:pict>
      </w:r>
    </w:p>
    <w:p w:rsidR="00DF27D0" w:rsidRDefault="00DF27D0" w:rsidP="003A58DA">
      <w:pPr>
        <w:spacing w:line="480" w:lineRule="auto"/>
        <w:ind w:right="1400"/>
        <w:rPr>
          <w:rFonts w:ascii="Meiryo" w:hAnsi="Meiryo" w:cs="Meiryo"/>
          <w:b/>
          <w:bCs/>
          <w:kern w:val="0"/>
          <w:sz w:val="28"/>
          <w:szCs w:val="28"/>
        </w:rPr>
      </w:pPr>
    </w:p>
    <w:p w:rsidR="00695F96" w:rsidRDefault="00763F48"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 id="_x0000_s2051" type="#_x0000_t202" style="position:absolute;left:0;text-align:left;margin-left:1.4pt;margin-top:9pt;width:294.3pt;height:57.7pt;z-index:251661312;mso-width-relative:margin;mso-height-relative:margin" fillcolor="#c4bc96 [2414]" strokecolor="black [3213]" strokeweight="1.5pt">
            <v:textbox style="mso-next-textbox:#_x0000_s2051">
              <w:txbxContent>
                <w:p w:rsidR="00695F96" w:rsidRPr="004D598B" w:rsidRDefault="00C37C0A" w:rsidP="00DF27D0">
                  <w:pPr>
                    <w:autoSpaceDE w:val="0"/>
                    <w:autoSpaceDN w:val="0"/>
                    <w:adjustRightInd w:val="0"/>
                    <w:jc w:val="left"/>
                    <w:rPr>
                      <w:rFonts w:ascii="Cambria" w:eastAsia="Meiryo" w:hAnsi="Cambria" w:cs="Calibri"/>
                      <w:b/>
                      <w:color w:val="000000" w:themeColor="text1"/>
                      <w:sz w:val="18"/>
                      <w:szCs w:val="18"/>
                    </w:rPr>
                  </w:pPr>
                  <w:r w:rsidRPr="004D598B">
                    <w:rPr>
                      <w:rFonts w:ascii="Cambria" w:eastAsia="GeorgiaPro-CondSemiBold" w:hAnsi="Cambria" w:cs="Calibri"/>
                      <w:b/>
                      <w:bCs/>
                      <w:color w:val="000000" w:themeColor="text1"/>
                      <w:kern w:val="0"/>
                      <w:sz w:val="18"/>
                      <w:szCs w:val="18"/>
                    </w:rPr>
                    <w:t>T</w:t>
                  </w:r>
                  <w:r w:rsidR="00DF27D0" w:rsidRPr="004D598B">
                    <w:rPr>
                      <w:rFonts w:ascii="Cambria" w:eastAsia="GeorgiaPro-CondSemiBold" w:hAnsi="Cambria" w:cs="Calibri"/>
                      <w:b/>
                      <w:bCs/>
                      <w:color w:val="000000" w:themeColor="text1"/>
                      <w:kern w:val="0"/>
                      <w:sz w:val="18"/>
                      <w:szCs w:val="18"/>
                    </w:rPr>
                    <w:t xml:space="preserve">echnical literature is available at: </w:t>
                  </w:r>
                  <w:hyperlink r:id="rId7" w:history="1">
                    <w:r w:rsidRPr="004D598B">
                      <w:rPr>
                        <w:rStyle w:val="a9"/>
                        <w:rFonts w:ascii="Cambria" w:eastAsia="GeorgiaPro-CondSemiBold" w:hAnsi="Cambria" w:cs="Calibri"/>
                        <w:b/>
                        <w:bCs/>
                        <w:color w:val="000000" w:themeColor="text1"/>
                        <w:kern w:val="0"/>
                        <w:sz w:val="18"/>
                        <w:szCs w:val="18"/>
                      </w:rPr>
                      <w:t>www.mesgenbio.com</w:t>
                    </w:r>
                  </w:hyperlink>
                  <w:r w:rsidR="00DF27D0" w:rsidRPr="004D598B">
                    <w:rPr>
                      <w:rFonts w:ascii="Cambria" w:eastAsia="GeorgiaPro-CondSemiBold" w:hAnsi="Cambria" w:cs="Calibri"/>
                      <w:b/>
                      <w:bCs/>
                      <w:color w:val="000000" w:themeColor="text1"/>
                      <w:kern w:val="0"/>
                      <w:sz w:val="18"/>
                      <w:szCs w:val="18"/>
                    </w:rPr>
                    <w:t xml:space="preserve">.  E-mail MesGen Technical Services if you have questions on use of this system: </w:t>
                  </w:r>
                  <w:r w:rsidRPr="004D598B">
                    <w:rPr>
                      <w:rFonts w:ascii="Cambria" w:eastAsia="GeorgiaPro-CondSemiBold" w:hAnsi="Cambria" w:cs="Calibri"/>
                      <w:b/>
                      <w:bCs/>
                      <w:color w:val="000000" w:themeColor="text1"/>
                      <w:kern w:val="0"/>
                      <w:sz w:val="18"/>
                      <w:szCs w:val="18"/>
                    </w:rPr>
                    <w:t>t</w:t>
                  </w:r>
                  <w:r w:rsidR="00DF27D0" w:rsidRPr="004D598B">
                    <w:rPr>
                      <w:rFonts w:ascii="Cambria" w:eastAsia="GeorgiaPro-CondSemiBold" w:hAnsi="Cambria" w:cs="Calibri"/>
                      <w:b/>
                      <w:bCs/>
                      <w:color w:val="000000" w:themeColor="text1"/>
                      <w:kern w:val="0"/>
                      <w:sz w:val="18"/>
                      <w:szCs w:val="18"/>
                    </w:rPr>
                    <w:t>ech@mesgenbio.com</w:t>
                  </w:r>
                </w:p>
              </w:txbxContent>
            </v:textbox>
          </v:shape>
        </w:pict>
      </w:r>
    </w:p>
    <w:p w:rsidR="00763F48" w:rsidRDefault="00763F48" w:rsidP="00763F48">
      <w:pPr>
        <w:widowControl/>
        <w:spacing w:beforeLines="50" w:line="400" w:lineRule="exact"/>
        <w:rPr>
          <w:rFonts w:ascii="华文细黑" w:eastAsia="华文细黑" w:hAnsi="华文细黑" w:cs="Arial" w:hint="eastAsia"/>
          <w:b/>
          <w:kern w:val="0"/>
          <w:sz w:val="24"/>
          <w:szCs w:val="24"/>
        </w:rPr>
      </w:pPr>
    </w:p>
    <w:p w:rsidR="004D598B" w:rsidRPr="00763F48" w:rsidRDefault="004D598B" w:rsidP="00763F48">
      <w:pPr>
        <w:widowControl/>
        <w:spacing w:beforeLines="100" w:line="400" w:lineRule="exact"/>
        <w:rPr>
          <w:rFonts w:ascii="华文细黑" w:eastAsia="华文细黑" w:hAnsi="华文细黑" w:cs="Arial" w:hint="eastAsia"/>
          <w:b/>
          <w:kern w:val="0"/>
          <w:sz w:val="24"/>
          <w:szCs w:val="24"/>
        </w:rPr>
      </w:pPr>
      <w:r w:rsidRPr="004D598B">
        <w:rPr>
          <w:rFonts w:ascii="华文细黑" w:eastAsia="华文细黑" w:hAnsi="华文细黑" w:cs="Arial" w:hint="eastAsia"/>
          <w:b/>
          <w:kern w:val="0"/>
          <w:sz w:val="24"/>
          <w:szCs w:val="24"/>
        </w:rPr>
        <w:t>产品说明</w:t>
      </w:r>
    </w:p>
    <w:p w:rsidR="004D598B" w:rsidRPr="00763F48" w:rsidRDefault="004D598B" w:rsidP="00EB1A28">
      <w:pPr>
        <w:widowControl/>
        <w:spacing w:afterLines="50" w:line="440" w:lineRule="exact"/>
        <w:rPr>
          <w:rFonts w:ascii="华文细黑" w:eastAsia="华文细黑" w:hAnsi="华文细黑" w:cs="Arial" w:hint="eastAsia"/>
          <w:kern w:val="0"/>
          <w:szCs w:val="21"/>
        </w:rPr>
      </w:pPr>
      <w:r w:rsidRPr="004D598B">
        <w:rPr>
          <w:rFonts w:ascii="华文细黑" w:eastAsia="华文细黑" w:hAnsi="华文细黑" w:cs="Arial" w:hint="eastAsia"/>
          <w:kern w:val="0"/>
          <w:szCs w:val="21"/>
        </w:rPr>
        <w:t>萤火虫荧光素酶 (</w:t>
      </w:r>
      <w:r w:rsidRPr="00763F48">
        <w:rPr>
          <w:rFonts w:ascii="华文细黑" w:eastAsia="华文细黑" w:hAnsi="华文细黑" w:cs="Arial" w:hint="eastAsia"/>
          <w:kern w:val="0"/>
          <w:szCs w:val="21"/>
        </w:rPr>
        <w:t>F</w:t>
      </w:r>
      <w:r w:rsidR="00EB1A28" w:rsidRPr="00763F48">
        <w:rPr>
          <w:rFonts w:ascii="华文细黑" w:eastAsia="华文细黑" w:hAnsi="华文细黑" w:cs="Arial" w:hint="eastAsia"/>
          <w:kern w:val="0"/>
          <w:szCs w:val="21"/>
        </w:rPr>
        <w:t>irefly L</w:t>
      </w:r>
      <w:r w:rsidRPr="004D598B">
        <w:rPr>
          <w:rFonts w:ascii="华文细黑" w:eastAsia="华文细黑" w:hAnsi="华文细黑" w:cs="Arial" w:hint="eastAsia"/>
          <w:kern w:val="0"/>
          <w:szCs w:val="21"/>
        </w:rPr>
        <w:t>uciferase)和海肾萤光素酶(</w:t>
      </w:r>
      <w:r w:rsidRPr="00763F48">
        <w:rPr>
          <w:rFonts w:ascii="华文细黑" w:eastAsia="华文细黑" w:hAnsi="华文细黑" w:cs="Arial" w:hint="eastAsia"/>
          <w:kern w:val="0"/>
          <w:szCs w:val="21"/>
        </w:rPr>
        <w:t>R</w:t>
      </w:r>
      <w:r w:rsidR="00EB1A28" w:rsidRPr="00763F48">
        <w:rPr>
          <w:rFonts w:ascii="华文细黑" w:eastAsia="华文细黑" w:hAnsi="华文细黑" w:cs="Arial" w:hint="eastAsia"/>
          <w:kern w:val="0"/>
          <w:szCs w:val="21"/>
        </w:rPr>
        <w:t>enilla L</w:t>
      </w:r>
      <w:r w:rsidRPr="004D598B">
        <w:rPr>
          <w:rFonts w:ascii="华文细黑" w:eastAsia="华文细黑" w:hAnsi="华文细黑" w:cs="Arial" w:hint="eastAsia"/>
          <w:kern w:val="0"/>
          <w:szCs w:val="21"/>
        </w:rPr>
        <w:t>uciferase)可分别催化荧光素 (</w:t>
      </w:r>
      <w:r w:rsidRPr="00763F48">
        <w:rPr>
          <w:rFonts w:ascii="华文细黑" w:eastAsia="华文细黑" w:hAnsi="华文细黑" w:cs="Arial" w:hint="eastAsia"/>
          <w:kern w:val="0"/>
          <w:szCs w:val="21"/>
        </w:rPr>
        <w:t>L</w:t>
      </w:r>
      <w:r w:rsidRPr="004D598B">
        <w:rPr>
          <w:rFonts w:ascii="华文细黑" w:eastAsia="华文细黑" w:hAnsi="华文细黑" w:cs="Arial" w:hint="eastAsia"/>
          <w:kern w:val="0"/>
          <w:szCs w:val="21"/>
        </w:rPr>
        <w:t>uciferin)或腔肠素</w:t>
      </w:r>
      <w:r w:rsidR="00EB1A28" w:rsidRPr="00763F48">
        <w:rPr>
          <w:rFonts w:ascii="华文细黑" w:eastAsia="华文细黑" w:hAnsi="华文细黑" w:cs="Arial" w:hint="eastAsia"/>
          <w:kern w:val="0"/>
          <w:szCs w:val="21"/>
        </w:rPr>
        <w:t> (C</w:t>
      </w:r>
      <w:r w:rsidRPr="004D598B">
        <w:rPr>
          <w:rFonts w:ascii="华文细黑" w:eastAsia="华文细黑" w:hAnsi="华文细黑" w:cs="Arial" w:hint="eastAsia"/>
          <w:kern w:val="0"/>
          <w:szCs w:val="21"/>
        </w:rPr>
        <w:t>oelenterazine)氧化形成</w:t>
      </w:r>
      <w:r w:rsidRPr="00763F48">
        <w:rPr>
          <w:rFonts w:ascii="华文细黑" w:eastAsia="华文细黑" w:hAnsi="华文细黑" w:cs="Arial" w:hint="eastAsia"/>
          <w:kern w:val="0"/>
          <w:szCs w:val="21"/>
        </w:rPr>
        <w:t>O</w:t>
      </w:r>
      <w:r w:rsidRPr="004D598B">
        <w:rPr>
          <w:rFonts w:ascii="华文细黑" w:eastAsia="华文细黑" w:hAnsi="华文细黑" w:cs="Arial" w:hint="eastAsia"/>
          <w:kern w:val="0"/>
          <w:szCs w:val="21"/>
        </w:rPr>
        <w:t>xyluciferin或</w:t>
      </w:r>
      <w:r w:rsidRPr="00763F48">
        <w:rPr>
          <w:rFonts w:ascii="华文细黑" w:eastAsia="华文细黑" w:hAnsi="华文细黑" w:cs="Arial" w:hint="eastAsia"/>
          <w:kern w:val="0"/>
          <w:szCs w:val="21"/>
        </w:rPr>
        <w:t>C</w:t>
      </w:r>
      <w:r w:rsidRPr="004D598B">
        <w:rPr>
          <w:rFonts w:ascii="华文细黑" w:eastAsia="华文细黑" w:hAnsi="华文细黑" w:cs="Arial" w:hint="eastAsia"/>
          <w:kern w:val="0"/>
          <w:szCs w:val="21"/>
        </w:rPr>
        <w:t>oelenteramide ，并在此过程中产生生物荧光。</w:t>
      </w:r>
      <w:r w:rsidRPr="00763F48">
        <w:rPr>
          <w:rFonts w:ascii="华文细黑" w:eastAsia="华文细黑" w:hAnsi="华文细黑" w:cs="Arial" w:hint="eastAsia"/>
          <w:kern w:val="0"/>
          <w:szCs w:val="21"/>
        </w:rPr>
        <w:t xml:space="preserve">Dual </w:t>
      </w:r>
      <w:r w:rsidRPr="004D598B">
        <w:rPr>
          <w:rFonts w:ascii="华文细黑" w:eastAsia="华文细黑" w:hAnsi="华文细黑" w:cs="Arial" w:hint="eastAsia"/>
          <w:kern w:val="0"/>
          <w:szCs w:val="21"/>
        </w:rPr>
        <w:t>-Luciferase Reporter Assay Kit首先以荧光素为底物检测萤火虫荧光素酶报告基因的活性，之后在淬灭该荧光的同时，以腔肠素为底物检测海肾荧光素酶报告基因的活性，具有检测迅速、灵敏度高、检测范围广、无细胞内源活性干扰等特点。 </w:t>
      </w:r>
    </w:p>
    <w:p w:rsidR="0023273C" w:rsidRPr="00763F48" w:rsidRDefault="0023273C" w:rsidP="00EB1A28">
      <w:pPr>
        <w:widowControl/>
        <w:spacing w:line="400" w:lineRule="exact"/>
        <w:rPr>
          <w:rFonts w:ascii="华文细黑" w:eastAsia="华文细黑" w:hAnsi="华文细黑" w:cs="Arial" w:hint="eastAsia"/>
          <w:b/>
          <w:kern w:val="0"/>
          <w:sz w:val="24"/>
          <w:szCs w:val="24"/>
        </w:rPr>
      </w:pPr>
      <w:r w:rsidRPr="00763F48">
        <w:rPr>
          <w:rFonts w:ascii="华文细黑" w:eastAsia="华文细黑" w:hAnsi="华文细黑" w:cs="Arial" w:hint="eastAsia"/>
          <w:b/>
          <w:kern w:val="0"/>
          <w:sz w:val="24"/>
          <w:szCs w:val="24"/>
        </w:rPr>
        <w:t>产品特点</w:t>
      </w:r>
    </w:p>
    <w:p w:rsidR="0023273C" w:rsidRPr="00763F48" w:rsidRDefault="0023273C" w:rsidP="00EB1A28">
      <w:pPr>
        <w:pStyle w:val="a6"/>
        <w:widowControl/>
        <w:numPr>
          <w:ilvl w:val="0"/>
          <w:numId w:val="13"/>
        </w:numPr>
        <w:spacing w:line="440" w:lineRule="exact"/>
        <w:ind w:firstLineChars="0"/>
        <w:jc w:val="lef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使用萤火虫萤光素酶及海肾荧光素酶双萤光对照，结果更可靠；</w:t>
      </w:r>
    </w:p>
    <w:p w:rsidR="0023273C" w:rsidRPr="00763F48" w:rsidRDefault="0023273C" w:rsidP="00EB1A28">
      <w:pPr>
        <w:pStyle w:val="a6"/>
        <w:widowControl/>
        <w:numPr>
          <w:ilvl w:val="0"/>
          <w:numId w:val="13"/>
        </w:numPr>
        <w:spacing w:line="440" w:lineRule="exact"/>
        <w:ind w:firstLineChars="0"/>
        <w:jc w:val="left"/>
        <w:rPr>
          <w:rFonts w:ascii="华文细黑" w:eastAsia="华文细黑" w:hAnsi="华文细黑" w:cs="Arial" w:hint="eastAsia"/>
          <w:kern w:val="0"/>
          <w:szCs w:val="21"/>
        </w:rPr>
      </w:pPr>
      <w:r w:rsidRPr="0023273C">
        <w:rPr>
          <w:rFonts w:ascii="华文细黑" w:eastAsia="华文细黑" w:hAnsi="华文细黑" w:cs="Arial" w:hint="eastAsia"/>
          <w:kern w:val="0"/>
          <w:szCs w:val="21"/>
        </w:rPr>
        <w:t>适用于多种真核细胞，细胞裂解液可离心分离冻存使用或直接在孔板中检测，节省平板和操作时间，细胞裂解产物可稳定保存室温8小时，或4℃</w:t>
      </w:r>
      <w:r w:rsidRPr="00763F48">
        <w:rPr>
          <w:rFonts w:ascii="华文细黑" w:eastAsia="华文细黑" w:hAnsi="华文细黑" w:cs="Arial" w:hint="eastAsia"/>
          <w:kern w:val="0"/>
          <w:szCs w:val="21"/>
        </w:rPr>
        <w:t xml:space="preserve"> </w:t>
      </w:r>
      <w:r w:rsidRPr="0023273C">
        <w:rPr>
          <w:rFonts w:ascii="华文细黑" w:eastAsia="华文细黑" w:hAnsi="华文细黑" w:cs="Arial" w:hint="eastAsia"/>
          <w:kern w:val="0"/>
          <w:szCs w:val="21"/>
        </w:rPr>
        <w:t>7天，或-20℃三个月以上</w:t>
      </w:r>
      <w:r w:rsidRPr="00763F48">
        <w:rPr>
          <w:rFonts w:ascii="华文细黑" w:eastAsia="华文细黑" w:hAnsi="华文细黑" w:cs="Arial" w:hint="eastAsia"/>
          <w:kern w:val="0"/>
          <w:szCs w:val="21"/>
        </w:rPr>
        <w:t>；</w:t>
      </w:r>
    </w:p>
    <w:p w:rsidR="0023273C" w:rsidRPr="00763F48" w:rsidRDefault="0023273C" w:rsidP="00EB1A28">
      <w:pPr>
        <w:pStyle w:val="a6"/>
        <w:widowControl/>
        <w:numPr>
          <w:ilvl w:val="0"/>
          <w:numId w:val="13"/>
        </w:numPr>
        <w:spacing w:line="440" w:lineRule="exact"/>
        <w:ind w:firstLineChars="0"/>
        <w:jc w:val="left"/>
        <w:rPr>
          <w:rFonts w:ascii="华文细黑" w:eastAsia="华文细黑" w:hAnsi="华文细黑" w:cs="Arial" w:hint="eastAsia"/>
          <w:kern w:val="0"/>
          <w:szCs w:val="21"/>
        </w:rPr>
      </w:pPr>
      <w:r w:rsidRPr="0023273C">
        <w:rPr>
          <w:rFonts w:ascii="华文细黑" w:eastAsia="华文细黑" w:hAnsi="华文细黑" w:cs="Arial" w:hint="eastAsia"/>
          <w:kern w:val="0"/>
          <w:szCs w:val="21"/>
        </w:rPr>
        <w:t>萤光强度高，持久性强，萤火虫萤光素及海肾萤光素光强1分钟内衰减小于10%，5分钟内衰减小于30%</w:t>
      </w:r>
      <w:r w:rsidRPr="00763F48">
        <w:rPr>
          <w:rFonts w:ascii="华文细黑" w:eastAsia="华文细黑" w:hAnsi="华文细黑" w:cs="Arial" w:hint="eastAsia"/>
          <w:kern w:val="0"/>
          <w:szCs w:val="21"/>
        </w:rPr>
        <w:t>；</w:t>
      </w:r>
    </w:p>
    <w:p w:rsidR="0023273C" w:rsidRPr="0023273C" w:rsidRDefault="0023273C" w:rsidP="00EB1A28">
      <w:pPr>
        <w:pStyle w:val="a6"/>
        <w:widowControl/>
        <w:numPr>
          <w:ilvl w:val="0"/>
          <w:numId w:val="13"/>
        </w:numPr>
        <w:spacing w:afterLines="50" w:line="440" w:lineRule="exact"/>
        <w:ind w:firstLineChars="0"/>
        <w:jc w:val="left"/>
        <w:rPr>
          <w:rFonts w:ascii="华文细黑" w:eastAsia="华文细黑" w:hAnsi="华文细黑" w:cs="Arial" w:hint="eastAsia"/>
          <w:kern w:val="0"/>
          <w:szCs w:val="21"/>
        </w:rPr>
      </w:pPr>
      <w:r w:rsidRPr="0023273C">
        <w:rPr>
          <w:rFonts w:ascii="华文细黑" w:eastAsia="华文细黑" w:hAnsi="华文细黑" w:cs="Arial" w:hint="eastAsia"/>
          <w:kern w:val="0"/>
          <w:szCs w:val="21"/>
        </w:rPr>
        <w:t>线性范围达7个数量级，适用于强</w:t>
      </w:r>
      <w:r w:rsidRPr="00763F48">
        <w:rPr>
          <w:rFonts w:ascii="华文细黑" w:eastAsia="华文细黑" w:hAnsi="华文细黑" w:cs="Arial" w:hint="eastAsia"/>
          <w:kern w:val="0"/>
          <w:szCs w:val="21"/>
        </w:rPr>
        <w:t>/弱</w:t>
      </w:r>
      <w:r w:rsidRPr="0023273C">
        <w:rPr>
          <w:rFonts w:ascii="华文细黑" w:eastAsia="华文细黑" w:hAnsi="华文细黑" w:cs="Arial" w:hint="eastAsia"/>
          <w:kern w:val="0"/>
          <w:szCs w:val="21"/>
        </w:rPr>
        <w:t>启动子或高/低水平表达调控的检测</w:t>
      </w:r>
      <w:r w:rsidRPr="00763F48">
        <w:rPr>
          <w:rFonts w:ascii="华文细黑" w:eastAsia="华文细黑" w:hAnsi="华文细黑" w:cs="Arial" w:hint="eastAsia"/>
          <w:kern w:val="0"/>
          <w:szCs w:val="21"/>
        </w:rPr>
        <w:t>；</w:t>
      </w:r>
    </w:p>
    <w:p w:rsidR="00C729B5" w:rsidRPr="00763F48" w:rsidRDefault="004D598B" w:rsidP="00EB1A28">
      <w:pPr>
        <w:widowControl/>
        <w:spacing w:line="400" w:lineRule="exact"/>
        <w:rPr>
          <w:rFonts w:ascii="华文细黑" w:eastAsia="华文细黑" w:hAnsi="华文细黑" w:cs="Arial" w:hint="eastAsia"/>
          <w:b/>
          <w:kern w:val="0"/>
          <w:sz w:val="24"/>
          <w:szCs w:val="24"/>
        </w:rPr>
      </w:pPr>
      <w:r w:rsidRPr="00763F48">
        <w:rPr>
          <w:rFonts w:ascii="华文细黑" w:eastAsia="华文细黑" w:hAnsi="华文细黑" w:cs="Arial" w:hint="eastAsia"/>
          <w:b/>
          <w:kern w:val="0"/>
          <w:sz w:val="24"/>
          <w:szCs w:val="24"/>
        </w:rPr>
        <w:t>试剂盒组成</w:t>
      </w:r>
    </w:p>
    <w:tbl>
      <w:tblPr>
        <w:tblStyle w:val="a8"/>
        <w:tblW w:w="0" w:type="auto"/>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2694"/>
        <w:gridCol w:w="1276"/>
        <w:gridCol w:w="1276"/>
        <w:gridCol w:w="1276"/>
      </w:tblGrid>
      <w:tr w:rsidR="00C729B5" w:rsidRPr="00763F48" w:rsidTr="0023273C">
        <w:trPr>
          <w:trHeight w:hRule="exact" w:val="454"/>
        </w:trPr>
        <w:tc>
          <w:tcPr>
            <w:tcW w:w="2694" w:type="dxa"/>
            <w:tcBorders>
              <w:top w:val="single" w:sz="12" w:space="0" w:color="000000" w:themeColor="text1"/>
              <w:bottom w:val="single" w:sz="12" w:space="0" w:color="000000" w:themeColor="text1"/>
              <w:right w:val="nil"/>
            </w:tcBorders>
          </w:tcPr>
          <w:p w:rsidR="00C729B5" w:rsidRPr="00763F48" w:rsidRDefault="00C729B5" w:rsidP="001E54F8">
            <w:pPr>
              <w:autoSpaceDE w:val="0"/>
              <w:autoSpaceDN w:val="0"/>
              <w:adjustRightInd w:val="0"/>
              <w:spacing w:line="320" w:lineRule="exact"/>
              <w:rPr>
                <w:rFonts w:ascii="华文细黑" w:eastAsia="华文细黑" w:hAnsi="华文细黑" w:cs="Arial" w:hint="eastAsia"/>
                <w:kern w:val="0"/>
                <w:sz w:val="18"/>
                <w:szCs w:val="18"/>
              </w:rPr>
            </w:pPr>
          </w:p>
        </w:tc>
        <w:tc>
          <w:tcPr>
            <w:tcW w:w="1276" w:type="dxa"/>
            <w:tcBorders>
              <w:top w:val="single" w:sz="12" w:space="0" w:color="000000" w:themeColor="text1"/>
              <w:left w:val="nil"/>
              <w:bottom w:val="single" w:sz="12" w:space="0" w:color="000000" w:themeColor="text1"/>
              <w:right w:val="nil"/>
            </w:tcBorders>
          </w:tcPr>
          <w:p w:rsidR="00C729B5" w:rsidRPr="00763F48" w:rsidRDefault="004D598B" w:rsidP="001E54F8">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100 tests</w:t>
            </w:r>
          </w:p>
        </w:tc>
        <w:tc>
          <w:tcPr>
            <w:tcW w:w="1276" w:type="dxa"/>
            <w:tcBorders>
              <w:top w:val="single" w:sz="12" w:space="0" w:color="000000" w:themeColor="text1"/>
              <w:left w:val="nil"/>
              <w:bottom w:val="single" w:sz="12" w:space="0" w:color="000000" w:themeColor="text1"/>
              <w:right w:val="nil"/>
            </w:tcBorders>
          </w:tcPr>
          <w:p w:rsidR="00C729B5" w:rsidRPr="00763F48" w:rsidRDefault="004D598B" w:rsidP="001E54F8">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500 tests</w:t>
            </w:r>
          </w:p>
        </w:tc>
        <w:tc>
          <w:tcPr>
            <w:tcW w:w="1276" w:type="dxa"/>
            <w:tcBorders>
              <w:top w:val="single" w:sz="12" w:space="0" w:color="000000" w:themeColor="text1"/>
              <w:left w:val="nil"/>
              <w:bottom w:val="single" w:sz="12" w:space="0" w:color="000000" w:themeColor="text1"/>
            </w:tcBorders>
          </w:tcPr>
          <w:p w:rsidR="00C729B5" w:rsidRPr="00763F48" w:rsidRDefault="004D598B" w:rsidP="001E54F8">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1000 tests</w:t>
            </w:r>
          </w:p>
        </w:tc>
      </w:tr>
      <w:tr w:rsidR="001E54F8" w:rsidRPr="00763F48" w:rsidTr="0023273C">
        <w:trPr>
          <w:trHeight w:hRule="exact" w:val="454"/>
        </w:trPr>
        <w:tc>
          <w:tcPr>
            <w:tcW w:w="2694" w:type="dxa"/>
            <w:tcBorders>
              <w:top w:val="single" w:sz="12" w:space="0" w:color="000000" w:themeColor="text1"/>
              <w:right w:val="nil"/>
            </w:tcBorders>
          </w:tcPr>
          <w:p w:rsidR="001E54F8" w:rsidRPr="00763F48" w:rsidRDefault="004D598B" w:rsidP="001E54F8">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5×Cell Lysis Buffer</w:t>
            </w:r>
          </w:p>
        </w:tc>
        <w:tc>
          <w:tcPr>
            <w:tcW w:w="1276" w:type="dxa"/>
            <w:tcBorders>
              <w:top w:val="single" w:sz="12" w:space="0" w:color="000000" w:themeColor="text1"/>
              <w:left w:val="nil"/>
              <w:right w:val="nil"/>
            </w:tcBorders>
          </w:tcPr>
          <w:p w:rsidR="001E54F8" w:rsidRPr="00763F48" w:rsidRDefault="0023273C" w:rsidP="001E54F8">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10mL</w:t>
            </w:r>
          </w:p>
        </w:tc>
        <w:tc>
          <w:tcPr>
            <w:tcW w:w="1276" w:type="dxa"/>
            <w:tcBorders>
              <w:top w:val="single" w:sz="12" w:space="0" w:color="000000" w:themeColor="text1"/>
              <w:left w:val="nil"/>
              <w:right w:val="nil"/>
            </w:tcBorders>
          </w:tcPr>
          <w:p w:rsidR="001E54F8" w:rsidRPr="00763F48" w:rsidRDefault="0023273C" w:rsidP="001E54F8">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50mL</w:t>
            </w:r>
          </w:p>
        </w:tc>
        <w:tc>
          <w:tcPr>
            <w:tcW w:w="1276" w:type="dxa"/>
            <w:tcBorders>
              <w:top w:val="single" w:sz="12" w:space="0" w:color="000000" w:themeColor="text1"/>
              <w:left w:val="nil"/>
            </w:tcBorders>
          </w:tcPr>
          <w:p w:rsidR="001E54F8" w:rsidRPr="00763F48" w:rsidRDefault="0023273C" w:rsidP="001E54F8">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100mL</w:t>
            </w:r>
          </w:p>
        </w:tc>
      </w:tr>
      <w:tr w:rsidR="0023273C" w:rsidRPr="00763F48" w:rsidTr="0023273C">
        <w:trPr>
          <w:trHeight w:hRule="exact" w:val="454"/>
        </w:trPr>
        <w:tc>
          <w:tcPr>
            <w:tcW w:w="2694" w:type="dxa"/>
            <w:tcBorders>
              <w:righ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Luciferase Reaction Buffer</w:t>
            </w:r>
          </w:p>
        </w:tc>
        <w:tc>
          <w:tcPr>
            <w:tcW w:w="1276" w:type="dxa"/>
            <w:tcBorders>
              <w:left w:val="nil"/>
              <w:right w:val="nil"/>
            </w:tcBorders>
          </w:tcPr>
          <w:p w:rsidR="0023273C" w:rsidRPr="00763F48" w:rsidRDefault="0023273C"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10mL</w:t>
            </w:r>
          </w:p>
        </w:tc>
        <w:tc>
          <w:tcPr>
            <w:tcW w:w="1276" w:type="dxa"/>
            <w:tcBorders>
              <w:left w:val="nil"/>
              <w:right w:val="nil"/>
            </w:tcBorders>
          </w:tcPr>
          <w:p w:rsidR="0023273C" w:rsidRPr="00763F48" w:rsidRDefault="0023273C"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50mL</w:t>
            </w:r>
          </w:p>
        </w:tc>
        <w:tc>
          <w:tcPr>
            <w:tcW w:w="1276" w:type="dxa"/>
            <w:tcBorders>
              <w:left w:val="nil"/>
            </w:tcBorders>
          </w:tcPr>
          <w:p w:rsidR="0023273C" w:rsidRPr="00763F48" w:rsidRDefault="0023273C"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100mL</w:t>
            </w:r>
          </w:p>
        </w:tc>
      </w:tr>
      <w:tr w:rsidR="0023273C" w:rsidRPr="00763F48" w:rsidTr="0023273C">
        <w:trPr>
          <w:trHeight w:hRule="exact" w:val="454"/>
        </w:trPr>
        <w:tc>
          <w:tcPr>
            <w:tcW w:w="2694" w:type="dxa"/>
            <w:tcBorders>
              <w:righ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Luciferase Substrate</w:t>
            </w:r>
          </w:p>
        </w:tc>
        <w:tc>
          <w:tcPr>
            <w:tcW w:w="1276" w:type="dxa"/>
            <w:tcBorders>
              <w:left w:val="nil"/>
              <w:righ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1vial</w:t>
            </w:r>
          </w:p>
        </w:tc>
        <w:tc>
          <w:tcPr>
            <w:tcW w:w="1276" w:type="dxa"/>
            <w:tcBorders>
              <w:left w:val="nil"/>
              <w:righ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5vial</w:t>
            </w:r>
          </w:p>
        </w:tc>
        <w:tc>
          <w:tcPr>
            <w:tcW w:w="1276" w:type="dxa"/>
            <w:tcBorders>
              <w:lef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10vial</w:t>
            </w:r>
          </w:p>
        </w:tc>
      </w:tr>
      <w:tr w:rsidR="0023273C" w:rsidRPr="00763F48" w:rsidTr="0023273C">
        <w:trPr>
          <w:trHeight w:hRule="exact" w:val="454"/>
        </w:trPr>
        <w:tc>
          <w:tcPr>
            <w:tcW w:w="2694" w:type="dxa"/>
            <w:tcBorders>
              <w:bottom w:val="single" w:sz="6" w:space="0" w:color="000000" w:themeColor="text1"/>
              <w:righ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Stop &amp; Reaction Buffer</w:t>
            </w:r>
          </w:p>
        </w:tc>
        <w:tc>
          <w:tcPr>
            <w:tcW w:w="1276" w:type="dxa"/>
            <w:tcBorders>
              <w:left w:val="nil"/>
              <w:bottom w:val="single" w:sz="6" w:space="0" w:color="000000" w:themeColor="text1"/>
              <w:right w:val="nil"/>
            </w:tcBorders>
          </w:tcPr>
          <w:p w:rsidR="0023273C" w:rsidRPr="00763F48" w:rsidRDefault="0023273C"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10mL</w:t>
            </w:r>
          </w:p>
        </w:tc>
        <w:tc>
          <w:tcPr>
            <w:tcW w:w="1276" w:type="dxa"/>
            <w:tcBorders>
              <w:left w:val="nil"/>
              <w:bottom w:val="single" w:sz="6" w:space="0" w:color="000000" w:themeColor="text1"/>
              <w:right w:val="nil"/>
            </w:tcBorders>
          </w:tcPr>
          <w:p w:rsidR="0023273C" w:rsidRPr="00763F48" w:rsidRDefault="0023273C"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50mL</w:t>
            </w:r>
          </w:p>
        </w:tc>
        <w:tc>
          <w:tcPr>
            <w:tcW w:w="1276" w:type="dxa"/>
            <w:tcBorders>
              <w:left w:val="nil"/>
              <w:bottom w:val="single" w:sz="6" w:space="0" w:color="000000" w:themeColor="text1"/>
            </w:tcBorders>
          </w:tcPr>
          <w:p w:rsidR="0023273C" w:rsidRPr="00763F48" w:rsidRDefault="0023273C"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100mL</w:t>
            </w:r>
          </w:p>
        </w:tc>
      </w:tr>
      <w:tr w:rsidR="0023273C" w:rsidRPr="00763F48" w:rsidTr="0023273C">
        <w:trPr>
          <w:trHeight w:hRule="exact" w:val="454"/>
        </w:trPr>
        <w:tc>
          <w:tcPr>
            <w:tcW w:w="2694" w:type="dxa"/>
            <w:tcBorders>
              <w:bottom w:val="single" w:sz="12" w:space="0" w:color="000000" w:themeColor="text1"/>
              <w:righ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Renilla Substrate</w:t>
            </w:r>
          </w:p>
        </w:tc>
        <w:tc>
          <w:tcPr>
            <w:tcW w:w="1276" w:type="dxa"/>
            <w:tcBorders>
              <w:left w:val="nil"/>
              <w:bottom w:val="single" w:sz="12" w:space="0" w:color="000000" w:themeColor="text1"/>
              <w:righ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200ul</w:t>
            </w:r>
          </w:p>
        </w:tc>
        <w:tc>
          <w:tcPr>
            <w:tcW w:w="1276" w:type="dxa"/>
            <w:tcBorders>
              <w:left w:val="nil"/>
              <w:bottom w:val="single" w:sz="12" w:space="0" w:color="000000" w:themeColor="text1"/>
              <w:right w:val="nil"/>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1mL</w:t>
            </w:r>
          </w:p>
        </w:tc>
        <w:tc>
          <w:tcPr>
            <w:tcW w:w="1276" w:type="dxa"/>
            <w:tcBorders>
              <w:left w:val="nil"/>
              <w:bottom w:val="single" w:sz="12" w:space="0" w:color="000000" w:themeColor="text1"/>
            </w:tcBorders>
          </w:tcPr>
          <w:p w:rsidR="0023273C" w:rsidRPr="00763F48" w:rsidRDefault="0023273C" w:rsidP="005241CE">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2mL</w:t>
            </w:r>
          </w:p>
        </w:tc>
      </w:tr>
    </w:tbl>
    <w:p w:rsidR="0023273C" w:rsidRPr="00763F48" w:rsidRDefault="0023273C" w:rsidP="007E6315">
      <w:pPr>
        <w:autoSpaceDE w:val="0"/>
        <w:autoSpaceDN w:val="0"/>
        <w:adjustRightInd w:val="0"/>
        <w:spacing w:line="400" w:lineRule="exact"/>
        <w:jc w:val="center"/>
        <w:rPr>
          <w:rFonts w:ascii="华文细黑" w:eastAsia="华文细黑" w:hAnsi="华文细黑" w:cs="Times New Roman" w:hint="eastAsia"/>
          <w:b/>
          <w:i/>
          <w:color w:val="000000" w:themeColor="text1"/>
          <w:szCs w:val="21"/>
          <w:shd w:val="clear" w:color="auto" w:fill="FFFFFF"/>
        </w:rPr>
      </w:pPr>
    </w:p>
    <w:p w:rsidR="0023273C" w:rsidRPr="00763F48" w:rsidRDefault="0023273C" w:rsidP="00EB1A28">
      <w:pPr>
        <w:widowControl/>
        <w:spacing w:line="400" w:lineRule="exact"/>
        <w:rPr>
          <w:rFonts w:ascii="华文细黑" w:eastAsia="华文细黑" w:hAnsi="华文细黑" w:cs="Arial" w:hint="eastAsia"/>
          <w:b/>
          <w:kern w:val="0"/>
          <w:sz w:val="24"/>
          <w:szCs w:val="24"/>
        </w:rPr>
      </w:pPr>
      <w:r w:rsidRPr="00763F48">
        <w:rPr>
          <w:rFonts w:ascii="华文细黑" w:eastAsia="华文细黑" w:hAnsi="华文细黑" w:cs="Arial" w:hint="eastAsia"/>
          <w:b/>
          <w:kern w:val="0"/>
          <w:sz w:val="24"/>
          <w:szCs w:val="24"/>
        </w:rPr>
        <w:t>使用步骤</w:t>
      </w:r>
    </w:p>
    <w:p w:rsidR="0023273C" w:rsidRPr="00763F48" w:rsidRDefault="0023273C" w:rsidP="00EB1A28">
      <w:pPr>
        <w:pStyle w:val="a6"/>
        <w:numPr>
          <w:ilvl w:val="0"/>
          <w:numId w:val="14"/>
        </w:numPr>
        <w:autoSpaceDE w:val="0"/>
        <w:autoSpaceDN w:val="0"/>
        <w:adjustRightInd w:val="0"/>
        <w:spacing w:line="440" w:lineRule="exact"/>
        <w:ind w:firstLineChars="0"/>
        <w:jc w:val="left"/>
        <w:rPr>
          <w:rFonts w:ascii="华文细黑" w:eastAsia="华文细黑" w:hAnsi="华文细黑" w:cs="Arial" w:hint="eastAsia"/>
          <w:b/>
          <w:kern w:val="0"/>
          <w:szCs w:val="21"/>
        </w:rPr>
      </w:pPr>
      <w:r w:rsidRPr="00763F48">
        <w:rPr>
          <w:rFonts w:ascii="华文细黑" w:eastAsia="华文细黑" w:hAnsi="华文细黑" w:cs="Arial" w:hint="eastAsia"/>
          <w:b/>
          <w:kern w:val="0"/>
          <w:szCs w:val="21"/>
        </w:rPr>
        <w:t>使用前注意事项</w:t>
      </w:r>
    </w:p>
    <w:p w:rsidR="0023273C" w:rsidRPr="00763F48" w:rsidRDefault="0023273C" w:rsidP="00EB1A28">
      <w:pPr>
        <w:autoSpaceDE w:val="0"/>
        <w:autoSpaceDN w:val="0"/>
        <w:adjustRightInd w:val="0"/>
        <w:spacing w:line="440" w:lineRule="exact"/>
        <w:ind w:left="273" w:hangingChars="130" w:hanging="273"/>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1. 首次使用时将</w:t>
      </w:r>
      <w:r w:rsidR="00EF4FAF" w:rsidRPr="00763F48">
        <w:rPr>
          <w:rFonts w:ascii="华文细黑" w:eastAsia="华文细黑" w:hAnsi="华文细黑" w:cs="Arial" w:hint="eastAsia"/>
          <w:b/>
          <w:kern w:val="0"/>
          <w:szCs w:val="21"/>
        </w:rPr>
        <w:t>Luciferase Reaction Buffer</w:t>
      </w:r>
      <w:r w:rsidRPr="00763F48">
        <w:rPr>
          <w:rFonts w:ascii="华文细黑" w:eastAsia="华文细黑" w:hAnsi="华文细黑" w:cs="Arial" w:hint="eastAsia"/>
          <w:kern w:val="0"/>
          <w:szCs w:val="21"/>
        </w:rPr>
        <w:t>全部倒入含有冻干底物的</w:t>
      </w:r>
      <w:r w:rsidRPr="00763F48">
        <w:rPr>
          <w:rFonts w:ascii="华文细黑" w:eastAsia="华文细黑" w:hAnsi="华文细黑" w:cs="Arial" w:hint="eastAsia"/>
          <w:b/>
          <w:kern w:val="0"/>
          <w:szCs w:val="21"/>
        </w:rPr>
        <w:t>Luciferase Substrate</w:t>
      </w:r>
      <w:r w:rsidRPr="00763F48">
        <w:rPr>
          <w:rFonts w:ascii="华文细黑" w:eastAsia="华文细黑" w:hAnsi="华文细黑" w:cs="Arial" w:hint="eastAsia"/>
          <w:kern w:val="0"/>
          <w:szCs w:val="21"/>
        </w:rPr>
        <w:t>棕色避光瓶中，充分混匀后按使用需求分装并避光保存于-80℃；</w:t>
      </w:r>
    </w:p>
    <w:p w:rsidR="0023273C" w:rsidRPr="00763F48" w:rsidRDefault="0023273C" w:rsidP="00EB1A28">
      <w:pPr>
        <w:autoSpaceDE w:val="0"/>
        <w:autoSpaceDN w:val="0"/>
        <w:adjustRightInd w:val="0"/>
        <w:spacing w:line="440" w:lineRule="exac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2. 每次使用前以1</w:t>
      </w:r>
      <w:r w:rsidR="00EB1A28" w:rsidRPr="00763F48">
        <w:rPr>
          <w:rFonts w:ascii="华文细黑" w:eastAsia="华文细黑" w:hAnsi="华文细黑" w:cs="Arial" w:hint="eastAsia"/>
          <w:kern w:val="0"/>
          <w:szCs w:val="21"/>
        </w:rPr>
        <w:t xml:space="preserve"> </w:t>
      </w:r>
      <w:r w:rsidR="00EF4FAF" w:rsidRPr="00763F48">
        <w:rPr>
          <w:rFonts w:ascii="华文细黑" w:eastAsia="华文细黑" w:hAnsi="华文细黑" w:cs="Arial" w:hint="eastAsia"/>
          <w:kern w:val="0"/>
          <w:szCs w:val="21"/>
        </w:rPr>
        <w:t>：</w:t>
      </w:r>
      <w:r w:rsidRPr="00763F48">
        <w:rPr>
          <w:rFonts w:ascii="华文细黑" w:eastAsia="华文细黑" w:hAnsi="华文细黑" w:cs="Arial" w:hint="eastAsia"/>
          <w:kern w:val="0"/>
          <w:szCs w:val="21"/>
        </w:rPr>
        <w:t>4的比例将</w:t>
      </w:r>
      <w:r w:rsidRPr="00763F48">
        <w:rPr>
          <w:rFonts w:ascii="华文细黑" w:eastAsia="华文细黑" w:hAnsi="华文细黑" w:cs="Arial" w:hint="eastAsia"/>
          <w:b/>
          <w:kern w:val="0"/>
          <w:szCs w:val="21"/>
        </w:rPr>
        <w:t>5×Cell Lysis Buffer</w:t>
      </w:r>
      <w:r w:rsidRPr="00763F48">
        <w:rPr>
          <w:rFonts w:ascii="华文细黑" w:eastAsia="华文细黑" w:hAnsi="华文细黑" w:cs="Arial" w:hint="eastAsia"/>
          <w:kern w:val="0"/>
          <w:szCs w:val="21"/>
        </w:rPr>
        <w:t>与</w:t>
      </w:r>
      <w:r w:rsidRPr="00763F48">
        <w:rPr>
          <w:rFonts w:ascii="华文细黑" w:eastAsia="华文细黑" w:hAnsi="华文细黑" w:cs="Arial" w:hint="eastAsia"/>
          <w:b/>
          <w:kern w:val="0"/>
          <w:szCs w:val="21"/>
        </w:rPr>
        <w:t>ddH</w:t>
      </w:r>
      <w:r w:rsidRPr="00763F48">
        <w:rPr>
          <w:rFonts w:ascii="华文细黑" w:eastAsia="华文细黑" w:hAnsi="华文细黑" w:cs="Arial" w:hint="eastAsia"/>
          <w:b/>
          <w:kern w:val="0"/>
          <w:szCs w:val="21"/>
          <w:vertAlign w:val="subscript"/>
        </w:rPr>
        <w:t>2</w:t>
      </w:r>
      <w:r w:rsidRPr="00763F48">
        <w:rPr>
          <w:rFonts w:ascii="华文细黑" w:eastAsia="华文细黑" w:hAnsi="华文细黑" w:cs="Arial" w:hint="eastAsia"/>
          <w:b/>
          <w:kern w:val="0"/>
          <w:szCs w:val="21"/>
        </w:rPr>
        <w:t>O</w:t>
      </w:r>
      <w:r w:rsidRPr="00763F48">
        <w:rPr>
          <w:rFonts w:ascii="华文细黑" w:eastAsia="华文细黑" w:hAnsi="华文细黑" w:cs="Arial" w:hint="eastAsia"/>
          <w:kern w:val="0"/>
          <w:szCs w:val="21"/>
        </w:rPr>
        <w:t>充分混合，置于冰上备用；</w:t>
      </w:r>
    </w:p>
    <w:p w:rsidR="0023273C" w:rsidRPr="00763F48" w:rsidRDefault="0023273C" w:rsidP="00EB1A28">
      <w:pPr>
        <w:autoSpaceDE w:val="0"/>
        <w:autoSpaceDN w:val="0"/>
        <w:adjustRightInd w:val="0"/>
        <w:spacing w:line="440" w:lineRule="exact"/>
        <w:ind w:left="273" w:hangingChars="130" w:hanging="273"/>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 xml:space="preserve">3. </w:t>
      </w:r>
      <w:r w:rsidR="00EB1A28" w:rsidRPr="00763F48">
        <w:rPr>
          <w:rFonts w:ascii="华文细黑" w:eastAsia="华文细黑" w:hAnsi="华文细黑" w:cs="Arial" w:hint="eastAsia"/>
          <w:kern w:val="0"/>
          <w:szCs w:val="21"/>
        </w:rPr>
        <w:t>短暂离心</w:t>
      </w:r>
      <w:r w:rsidRPr="00763F48">
        <w:rPr>
          <w:rFonts w:ascii="华文细黑" w:eastAsia="华文细黑" w:hAnsi="华文细黑" w:cs="Arial" w:hint="eastAsia"/>
          <w:b/>
          <w:kern w:val="0"/>
          <w:szCs w:val="21"/>
        </w:rPr>
        <w:t>Renilla Substrate</w:t>
      </w:r>
      <w:r w:rsidR="00EB1A28" w:rsidRPr="00763F48">
        <w:rPr>
          <w:rFonts w:ascii="华文细黑" w:eastAsia="华文细黑" w:hAnsi="华文细黑" w:cs="Arial" w:hint="eastAsia"/>
          <w:kern w:val="0"/>
          <w:szCs w:val="21"/>
        </w:rPr>
        <w:t>（溶解于乙醇中）</w:t>
      </w:r>
      <w:r w:rsidRPr="00763F48">
        <w:rPr>
          <w:rFonts w:ascii="华文细黑" w:eastAsia="华文细黑" w:hAnsi="华文细黑" w:cs="Arial" w:hint="eastAsia"/>
          <w:kern w:val="0"/>
          <w:szCs w:val="21"/>
        </w:rPr>
        <w:t>；</w:t>
      </w:r>
    </w:p>
    <w:p w:rsidR="0023273C" w:rsidRPr="00763F48" w:rsidRDefault="0023273C" w:rsidP="00EB1A28">
      <w:pPr>
        <w:autoSpaceDE w:val="0"/>
        <w:autoSpaceDN w:val="0"/>
        <w:adjustRightInd w:val="0"/>
        <w:spacing w:line="440" w:lineRule="exact"/>
        <w:ind w:left="273" w:hangingChars="130" w:hanging="273"/>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4. 使用时将</w:t>
      </w:r>
      <w:r w:rsidRPr="00763F48">
        <w:rPr>
          <w:rFonts w:ascii="华文细黑" w:eastAsia="华文细黑" w:hAnsi="华文细黑" w:cs="Arial" w:hint="eastAsia"/>
          <w:b/>
          <w:kern w:val="0"/>
          <w:szCs w:val="21"/>
        </w:rPr>
        <w:t>Renilla Substrate</w:t>
      </w:r>
      <w:r w:rsidRPr="00763F48">
        <w:rPr>
          <w:rFonts w:ascii="华文细黑" w:eastAsia="华文细黑" w:hAnsi="华文细黑" w:cs="Arial" w:hint="eastAsia"/>
          <w:kern w:val="0"/>
          <w:szCs w:val="21"/>
        </w:rPr>
        <w:t>于冰上暂存，计算实际使用量，以50</w:t>
      </w:r>
      <w:r w:rsidR="00EB1A28" w:rsidRPr="00763F48">
        <w:rPr>
          <w:rFonts w:ascii="华文细黑" w:eastAsia="华文细黑" w:hAnsi="华文细黑" w:cs="Arial" w:hint="eastAsia"/>
          <w:kern w:val="0"/>
          <w:szCs w:val="21"/>
        </w:rPr>
        <w:t xml:space="preserve"> </w:t>
      </w:r>
      <w:r w:rsidR="00EF4FAF" w:rsidRPr="00763F48">
        <w:rPr>
          <w:rFonts w:ascii="华文细黑" w:eastAsia="华文细黑" w:hAnsi="华文细黑" w:cs="Arial" w:hint="eastAsia"/>
          <w:kern w:val="0"/>
          <w:szCs w:val="21"/>
        </w:rPr>
        <w:t>：</w:t>
      </w:r>
      <w:r w:rsidRPr="00763F48">
        <w:rPr>
          <w:rFonts w:ascii="华文细黑" w:eastAsia="华文细黑" w:hAnsi="华文细黑" w:cs="Arial" w:hint="eastAsia"/>
          <w:kern w:val="0"/>
          <w:szCs w:val="21"/>
        </w:rPr>
        <w:t>1的比例将适量的</w:t>
      </w:r>
      <w:r w:rsidRPr="00763F48">
        <w:rPr>
          <w:rFonts w:ascii="华文细黑" w:eastAsia="华文细黑" w:hAnsi="华文细黑" w:cs="Arial" w:hint="eastAsia"/>
          <w:b/>
          <w:kern w:val="0"/>
          <w:szCs w:val="21"/>
        </w:rPr>
        <w:t>Stop &amp; Reaction Buffer</w:t>
      </w:r>
      <w:r w:rsidRPr="00763F48">
        <w:rPr>
          <w:rFonts w:ascii="华文细黑" w:eastAsia="华文细黑" w:hAnsi="华文细黑" w:cs="Arial" w:hint="eastAsia"/>
          <w:kern w:val="0"/>
          <w:szCs w:val="21"/>
        </w:rPr>
        <w:lastRenderedPageBreak/>
        <w:t>和</w:t>
      </w:r>
      <w:r w:rsidRPr="00763F48">
        <w:rPr>
          <w:rFonts w:ascii="华文细黑" w:eastAsia="华文细黑" w:hAnsi="华文细黑" w:cs="Arial" w:hint="eastAsia"/>
          <w:b/>
          <w:kern w:val="0"/>
          <w:szCs w:val="21"/>
        </w:rPr>
        <w:t>Renilla Substrate</w:t>
      </w:r>
      <w:r w:rsidRPr="00763F48">
        <w:rPr>
          <w:rFonts w:ascii="华文细黑" w:eastAsia="华文细黑" w:hAnsi="华文细黑" w:cs="Arial" w:hint="eastAsia"/>
          <w:kern w:val="0"/>
          <w:szCs w:val="21"/>
        </w:rPr>
        <w:t>混匀，室温避光备用；</w:t>
      </w:r>
    </w:p>
    <w:p w:rsidR="0023273C" w:rsidRPr="00763F48" w:rsidRDefault="0023273C" w:rsidP="00EB1A28">
      <w:pPr>
        <w:autoSpaceDE w:val="0"/>
        <w:autoSpaceDN w:val="0"/>
        <w:adjustRightInd w:val="0"/>
        <w:spacing w:line="440" w:lineRule="exac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5. 酶促反应对温度较为敏感，因此加样检测前需将细胞裂解产品和检测底物液均平衡至室温后使用；</w:t>
      </w:r>
    </w:p>
    <w:p w:rsidR="0023273C" w:rsidRPr="00763F48" w:rsidRDefault="0023273C" w:rsidP="00EB1A28">
      <w:pPr>
        <w:autoSpaceDE w:val="0"/>
        <w:autoSpaceDN w:val="0"/>
        <w:adjustRightInd w:val="0"/>
        <w:spacing w:line="440" w:lineRule="exact"/>
        <w:ind w:left="273" w:hangingChars="130" w:hanging="273"/>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6. 检测仪器选择：能够检测化学发光的仪器都适用于本试剂盒的检测，但针对相同样品，不同检测仪器的本底信号值和测量值均可能不同，因此需在预实验中检测仅加入萤光底物的本底信号，且对于同一样本的检测，不同仪器的数值不可横向比较。若使用全波长酶标仪进行检</w:t>
      </w:r>
      <w:r w:rsidR="00EF4FAF" w:rsidRPr="00763F48">
        <w:rPr>
          <w:rFonts w:ascii="华文细黑" w:eastAsia="华文细黑" w:hAnsi="华文细黑" w:cs="Arial" w:hint="eastAsia"/>
          <w:kern w:val="0"/>
          <w:szCs w:val="21"/>
        </w:rPr>
        <w:t>测，为防止孔间干扰，推荐使用不透明酶标板，且检测孔间有一定间隔；</w:t>
      </w:r>
    </w:p>
    <w:p w:rsidR="0023273C" w:rsidRPr="00763F48" w:rsidRDefault="00EF4FAF" w:rsidP="00EB1A28">
      <w:pPr>
        <w:pStyle w:val="a6"/>
        <w:numPr>
          <w:ilvl w:val="0"/>
          <w:numId w:val="14"/>
        </w:numPr>
        <w:autoSpaceDE w:val="0"/>
        <w:autoSpaceDN w:val="0"/>
        <w:adjustRightInd w:val="0"/>
        <w:spacing w:line="440" w:lineRule="exact"/>
        <w:ind w:firstLineChars="0"/>
        <w:jc w:val="left"/>
        <w:rPr>
          <w:rFonts w:ascii="华文细黑" w:eastAsia="华文细黑" w:hAnsi="华文细黑" w:cs="Arial" w:hint="eastAsia"/>
          <w:b/>
          <w:kern w:val="0"/>
          <w:szCs w:val="21"/>
        </w:rPr>
      </w:pPr>
      <w:r w:rsidRPr="00763F48">
        <w:rPr>
          <w:rFonts w:ascii="华文细黑" w:eastAsia="华文细黑" w:hAnsi="华文细黑" w:cs="Arial" w:hint="eastAsia"/>
          <w:b/>
          <w:kern w:val="0"/>
          <w:szCs w:val="21"/>
        </w:rPr>
        <w:t>实验步骤</w:t>
      </w:r>
    </w:p>
    <w:p w:rsidR="0023273C" w:rsidRPr="00763F48" w:rsidRDefault="0023273C" w:rsidP="00EB1A28">
      <w:pPr>
        <w:autoSpaceDE w:val="0"/>
        <w:autoSpaceDN w:val="0"/>
        <w:adjustRightInd w:val="0"/>
        <w:spacing w:line="440" w:lineRule="exact"/>
        <w:jc w:val="lef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1. 细胞裂解</w:t>
      </w:r>
    </w:p>
    <w:p w:rsidR="0023273C" w:rsidRPr="00763F48" w:rsidRDefault="00EF4FAF" w:rsidP="00EB1A28">
      <w:pPr>
        <w:autoSpaceDE w:val="0"/>
        <w:autoSpaceDN w:val="0"/>
        <w:adjustRightInd w:val="0"/>
        <w:spacing w:afterLines="50" w:line="440" w:lineRule="exact"/>
        <w:ind w:leftChars="100" w:left="210"/>
        <w:jc w:val="lef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吸掉</w:t>
      </w:r>
      <w:r w:rsidR="0023273C" w:rsidRPr="00763F48">
        <w:rPr>
          <w:rFonts w:ascii="华文细黑" w:eastAsia="华文细黑" w:hAnsi="华文细黑" w:cs="Arial" w:hint="eastAsia"/>
          <w:kern w:val="0"/>
          <w:szCs w:val="21"/>
        </w:rPr>
        <w:t>细胞培养基，用PBS洗涤两次，按下表建议加入适量</w:t>
      </w:r>
      <w:r w:rsidR="0023273C" w:rsidRPr="00763F48">
        <w:rPr>
          <w:rFonts w:ascii="华文细黑" w:eastAsia="华文细黑" w:hAnsi="华文细黑" w:cs="Arial" w:hint="eastAsia"/>
          <w:b/>
          <w:kern w:val="0"/>
          <w:szCs w:val="21"/>
        </w:rPr>
        <w:t>1×Cell Lysis Buffer</w:t>
      </w:r>
      <w:r w:rsidR="0023273C" w:rsidRPr="00763F48">
        <w:rPr>
          <w:rFonts w:ascii="华文细黑" w:eastAsia="华文细黑" w:hAnsi="华文细黑" w:cs="Arial" w:hint="eastAsia"/>
          <w:kern w:val="0"/>
          <w:szCs w:val="21"/>
        </w:rPr>
        <w:t>，室温静置或振摇裂解5分钟，吹打并吸取细胞裂解产物至1.5 ml离心管中，12000g常温离心2分钟，取上清用于后续检测。或在细胞培养板中直接加入底物检测</w:t>
      </w:r>
      <w:r w:rsidRPr="00763F48">
        <w:rPr>
          <w:rFonts w:ascii="华文细黑" w:eastAsia="华文细黑" w:hAnsi="华文细黑" w:cs="Arial" w:hint="eastAsia"/>
          <w:kern w:val="0"/>
          <w:szCs w:val="21"/>
        </w:rPr>
        <w:t>；</w:t>
      </w:r>
    </w:p>
    <w:tbl>
      <w:tblPr>
        <w:tblStyle w:val="a8"/>
        <w:tblW w:w="0" w:type="auto"/>
        <w:tblInd w:w="39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1843"/>
        <w:gridCol w:w="2126"/>
      </w:tblGrid>
      <w:tr w:rsidR="00EF4FAF" w:rsidRPr="00763F48" w:rsidTr="00763F48">
        <w:trPr>
          <w:trHeight w:hRule="exact" w:val="397"/>
        </w:trPr>
        <w:tc>
          <w:tcPr>
            <w:tcW w:w="1843" w:type="dxa"/>
            <w:tcBorders>
              <w:top w:val="single" w:sz="12" w:space="0" w:color="000000" w:themeColor="text1"/>
              <w:bottom w:val="single" w:sz="12" w:space="0" w:color="000000" w:themeColor="text1"/>
              <w:right w:val="nil"/>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Cell Culture Plate</w:t>
            </w:r>
          </w:p>
        </w:tc>
        <w:tc>
          <w:tcPr>
            <w:tcW w:w="2126" w:type="dxa"/>
            <w:tcBorders>
              <w:top w:val="single" w:sz="12" w:space="0" w:color="000000" w:themeColor="text1"/>
              <w:left w:val="nil"/>
              <w:bottom w:val="single" w:sz="12" w:space="0" w:color="000000" w:themeColor="text1"/>
              <w:right w:val="single" w:sz="6" w:space="0" w:color="000000" w:themeColor="text1"/>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1 ×Cell Lysis Buffer</w:t>
            </w:r>
          </w:p>
        </w:tc>
      </w:tr>
      <w:tr w:rsidR="00EF4FAF" w:rsidRPr="00763F48" w:rsidTr="00763F48">
        <w:trPr>
          <w:trHeight w:hRule="exact" w:val="397"/>
        </w:trPr>
        <w:tc>
          <w:tcPr>
            <w:tcW w:w="1843" w:type="dxa"/>
            <w:tcBorders>
              <w:top w:val="single" w:sz="12" w:space="0" w:color="000000" w:themeColor="text1"/>
              <w:right w:val="nil"/>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6-well</w:t>
            </w:r>
          </w:p>
        </w:tc>
        <w:tc>
          <w:tcPr>
            <w:tcW w:w="2126" w:type="dxa"/>
            <w:tcBorders>
              <w:top w:val="single" w:sz="12" w:space="0" w:color="000000" w:themeColor="text1"/>
              <w:left w:val="nil"/>
              <w:right w:val="single" w:sz="6" w:space="0" w:color="000000" w:themeColor="text1"/>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500µL</w:t>
            </w:r>
          </w:p>
        </w:tc>
      </w:tr>
      <w:tr w:rsidR="00EF4FAF" w:rsidRPr="00763F48" w:rsidTr="00763F48">
        <w:trPr>
          <w:trHeight w:hRule="exact" w:val="397"/>
        </w:trPr>
        <w:tc>
          <w:tcPr>
            <w:tcW w:w="1843" w:type="dxa"/>
            <w:tcBorders>
              <w:right w:val="nil"/>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12-well</w:t>
            </w:r>
          </w:p>
        </w:tc>
        <w:tc>
          <w:tcPr>
            <w:tcW w:w="2126" w:type="dxa"/>
            <w:tcBorders>
              <w:left w:val="nil"/>
              <w:right w:val="single" w:sz="6" w:space="0" w:color="000000" w:themeColor="text1"/>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200µL</w:t>
            </w:r>
          </w:p>
        </w:tc>
      </w:tr>
      <w:tr w:rsidR="00EF4FAF" w:rsidRPr="00763F48" w:rsidTr="00763F48">
        <w:trPr>
          <w:trHeight w:hRule="exact" w:val="397"/>
        </w:trPr>
        <w:tc>
          <w:tcPr>
            <w:tcW w:w="1843" w:type="dxa"/>
            <w:tcBorders>
              <w:right w:val="nil"/>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24-well</w:t>
            </w:r>
          </w:p>
        </w:tc>
        <w:tc>
          <w:tcPr>
            <w:tcW w:w="2126" w:type="dxa"/>
            <w:tcBorders>
              <w:left w:val="nil"/>
              <w:right w:val="single" w:sz="6" w:space="0" w:color="000000" w:themeColor="text1"/>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100µL</w:t>
            </w:r>
          </w:p>
        </w:tc>
      </w:tr>
      <w:tr w:rsidR="00EF4FAF" w:rsidRPr="00763F48" w:rsidTr="00763F48">
        <w:trPr>
          <w:trHeight w:hRule="exact" w:val="397"/>
        </w:trPr>
        <w:tc>
          <w:tcPr>
            <w:tcW w:w="1843" w:type="dxa"/>
            <w:tcBorders>
              <w:bottom w:val="single" w:sz="6" w:space="0" w:color="000000" w:themeColor="text1"/>
              <w:right w:val="nil"/>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48-well</w:t>
            </w:r>
          </w:p>
        </w:tc>
        <w:tc>
          <w:tcPr>
            <w:tcW w:w="2126" w:type="dxa"/>
            <w:tcBorders>
              <w:left w:val="nil"/>
              <w:bottom w:val="single" w:sz="6" w:space="0" w:color="000000" w:themeColor="text1"/>
              <w:right w:val="single" w:sz="6" w:space="0" w:color="000000" w:themeColor="text1"/>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50µL</w:t>
            </w:r>
          </w:p>
        </w:tc>
      </w:tr>
      <w:tr w:rsidR="00EF4FAF" w:rsidRPr="00763F48" w:rsidTr="00763F48">
        <w:trPr>
          <w:trHeight w:hRule="exact" w:val="397"/>
        </w:trPr>
        <w:tc>
          <w:tcPr>
            <w:tcW w:w="1843" w:type="dxa"/>
            <w:tcBorders>
              <w:bottom w:val="single" w:sz="12" w:space="0" w:color="000000" w:themeColor="text1"/>
              <w:right w:val="nil"/>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b/>
                <w:kern w:val="0"/>
                <w:sz w:val="18"/>
                <w:szCs w:val="18"/>
              </w:rPr>
            </w:pPr>
            <w:r w:rsidRPr="00763F48">
              <w:rPr>
                <w:rFonts w:ascii="华文细黑" w:eastAsia="华文细黑" w:hAnsi="华文细黑" w:cs="Arial" w:hint="eastAsia"/>
                <w:b/>
                <w:kern w:val="0"/>
                <w:sz w:val="18"/>
                <w:szCs w:val="18"/>
              </w:rPr>
              <w:t>96-well</w:t>
            </w:r>
          </w:p>
        </w:tc>
        <w:tc>
          <w:tcPr>
            <w:tcW w:w="2126" w:type="dxa"/>
            <w:tcBorders>
              <w:left w:val="nil"/>
              <w:bottom w:val="single" w:sz="12" w:space="0" w:color="000000" w:themeColor="text1"/>
              <w:right w:val="single" w:sz="6" w:space="0" w:color="000000" w:themeColor="text1"/>
            </w:tcBorders>
          </w:tcPr>
          <w:p w:rsidR="00EF4FAF" w:rsidRPr="00763F48" w:rsidRDefault="00EF4FAF" w:rsidP="009820AB">
            <w:pPr>
              <w:autoSpaceDE w:val="0"/>
              <w:autoSpaceDN w:val="0"/>
              <w:adjustRightInd w:val="0"/>
              <w:spacing w:line="320" w:lineRule="exact"/>
              <w:rPr>
                <w:rFonts w:ascii="华文细黑" w:eastAsia="华文细黑" w:hAnsi="华文细黑" w:cs="Arial" w:hint="eastAsia"/>
                <w:kern w:val="0"/>
                <w:sz w:val="18"/>
                <w:szCs w:val="18"/>
              </w:rPr>
            </w:pPr>
            <w:r w:rsidRPr="00763F48">
              <w:rPr>
                <w:rFonts w:ascii="华文细黑" w:eastAsia="华文细黑" w:hAnsi="华文细黑" w:cs="Arial" w:hint="eastAsia"/>
                <w:kern w:val="0"/>
                <w:sz w:val="18"/>
                <w:szCs w:val="18"/>
              </w:rPr>
              <w:t>20µL</w:t>
            </w:r>
          </w:p>
        </w:tc>
      </w:tr>
    </w:tbl>
    <w:p w:rsidR="0023273C" w:rsidRPr="00763F48" w:rsidRDefault="0023273C" w:rsidP="00EB1A28">
      <w:pPr>
        <w:autoSpaceDE w:val="0"/>
        <w:autoSpaceDN w:val="0"/>
        <w:adjustRightInd w:val="0"/>
        <w:spacing w:line="400" w:lineRule="exact"/>
        <w:ind w:firstLineChars="100" w:firstLine="210"/>
        <w:jc w:val="lef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注：如果萤光素酶的表达水平过低，可适当减少裂解液的使用量以提高蛋白浓度。</w:t>
      </w:r>
    </w:p>
    <w:p w:rsidR="0023273C" w:rsidRPr="00763F48" w:rsidRDefault="0023273C" w:rsidP="00EB1A28">
      <w:pPr>
        <w:autoSpaceDE w:val="0"/>
        <w:autoSpaceDN w:val="0"/>
        <w:adjustRightInd w:val="0"/>
        <w:spacing w:line="440" w:lineRule="exact"/>
        <w:jc w:val="lef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 xml:space="preserve">2. Firefly </w:t>
      </w:r>
      <w:r w:rsidR="00EF4FAF" w:rsidRPr="00763F48">
        <w:rPr>
          <w:rFonts w:ascii="华文细黑" w:eastAsia="华文细黑" w:hAnsi="华文细黑" w:cs="Arial" w:hint="eastAsia"/>
          <w:kern w:val="0"/>
          <w:szCs w:val="21"/>
        </w:rPr>
        <w:t>L</w:t>
      </w:r>
      <w:r w:rsidRPr="00763F48">
        <w:rPr>
          <w:rFonts w:ascii="华文细黑" w:eastAsia="华文细黑" w:hAnsi="华文细黑" w:cs="Arial" w:hint="eastAsia"/>
          <w:kern w:val="0"/>
          <w:szCs w:val="21"/>
        </w:rPr>
        <w:t>uciferase反应检测</w:t>
      </w:r>
    </w:p>
    <w:p w:rsidR="0023273C" w:rsidRPr="00763F48" w:rsidRDefault="0023273C" w:rsidP="00EB1A28">
      <w:pPr>
        <w:autoSpaceDE w:val="0"/>
        <w:autoSpaceDN w:val="0"/>
        <w:adjustRightInd w:val="0"/>
        <w:spacing w:line="440" w:lineRule="exact"/>
        <w:ind w:leftChars="100" w:left="210"/>
        <w:jc w:val="lef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将100 µl平衡至室温的</w:t>
      </w:r>
      <w:r w:rsidRPr="00763F48">
        <w:rPr>
          <w:rFonts w:ascii="华文细黑" w:eastAsia="华文细黑" w:hAnsi="华文细黑" w:cs="Arial" w:hint="eastAsia"/>
          <w:b/>
          <w:kern w:val="0"/>
          <w:szCs w:val="21"/>
        </w:rPr>
        <w:t>Luciferase Substrate</w:t>
      </w:r>
      <w:r w:rsidRPr="00763F48">
        <w:rPr>
          <w:rFonts w:ascii="华文细黑" w:eastAsia="华文细黑" w:hAnsi="华文细黑" w:cs="Arial" w:hint="eastAsia"/>
          <w:kern w:val="0"/>
          <w:szCs w:val="21"/>
        </w:rPr>
        <w:t>加入检测管或酶标板中，小心吸取20 µl细胞裂解上清至检测管或酶标板孔中，迅速混匀后立即于荧光检测仪(Luninometer)或酶标仪中检测</w:t>
      </w:r>
      <w:r w:rsidR="00EB1A28" w:rsidRPr="00763F48">
        <w:rPr>
          <w:rFonts w:ascii="华文细黑" w:eastAsia="华文细黑" w:hAnsi="华文细黑" w:cs="Arial" w:hint="eastAsia"/>
          <w:kern w:val="0"/>
          <w:szCs w:val="21"/>
        </w:rPr>
        <w:t>Firefly L</w:t>
      </w:r>
      <w:r w:rsidRPr="00763F48">
        <w:rPr>
          <w:rFonts w:ascii="华文细黑" w:eastAsia="华文细黑" w:hAnsi="华文细黑" w:cs="Arial" w:hint="eastAsia"/>
          <w:kern w:val="0"/>
          <w:szCs w:val="21"/>
        </w:rPr>
        <w:t>uciferase报告基因活性。</w:t>
      </w:r>
    </w:p>
    <w:p w:rsidR="0023273C" w:rsidRPr="00763F48" w:rsidRDefault="00EB1A28" w:rsidP="00EB1A28">
      <w:pPr>
        <w:autoSpaceDE w:val="0"/>
        <w:autoSpaceDN w:val="0"/>
        <w:adjustRightInd w:val="0"/>
        <w:spacing w:line="440" w:lineRule="exact"/>
        <w:jc w:val="lef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3. Renilla L</w:t>
      </w:r>
      <w:r w:rsidR="0023273C" w:rsidRPr="00763F48">
        <w:rPr>
          <w:rFonts w:ascii="华文细黑" w:eastAsia="华文细黑" w:hAnsi="华文细黑" w:cs="Arial" w:hint="eastAsia"/>
          <w:kern w:val="0"/>
          <w:szCs w:val="21"/>
        </w:rPr>
        <w:t>uciferase反应检测</w:t>
      </w:r>
    </w:p>
    <w:p w:rsidR="0023273C" w:rsidRPr="00763F48" w:rsidRDefault="0023273C" w:rsidP="00EB1A28">
      <w:pPr>
        <w:autoSpaceDE w:val="0"/>
        <w:autoSpaceDN w:val="0"/>
        <w:adjustRightInd w:val="0"/>
        <w:spacing w:line="440" w:lineRule="exact"/>
        <w:ind w:leftChars="100" w:left="210"/>
        <w:jc w:val="left"/>
        <w:rPr>
          <w:rFonts w:ascii="华文细黑" w:eastAsia="华文细黑" w:hAnsi="华文细黑" w:cs="Arial" w:hint="eastAsia"/>
          <w:kern w:val="0"/>
          <w:szCs w:val="21"/>
        </w:rPr>
      </w:pPr>
      <w:r w:rsidRPr="00763F48">
        <w:rPr>
          <w:rFonts w:ascii="华文细黑" w:eastAsia="华文细黑" w:hAnsi="华文细黑" w:cs="Arial" w:hint="eastAsia"/>
          <w:kern w:val="0"/>
          <w:szCs w:val="21"/>
        </w:rPr>
        <w:t>在以上反应液中加入100 µl新鲜配制的</w:t>
      </w:r>
      <w:r w:rsidR="00EB1A28" w:rsidRPr="00763F48">
        <w:rPr>
          <w:rFonts w:ascii="华文细黑" w:eastAsia="华文细黑" w:hAnsi="华文细黑" w:cs="Arial" w:hint="eastAsia"/>
          <w:kern w:val="0"/>
          <w:szCs w:val="21"/>
        </w:rPr>
        <w:t>Renilla底物</w:t>
      </w:r>
      <w:r w:rsidRPr="00763F48">
        <w:rPr>
          <w:rFonts w:ascii="华文细黑" w:eastAsia="华文细黑" w:hAnsi="华文细黑" w:cs="Arial" w:hint="eastAsia"/>
          <w:kern w:val="0"/>
          <w:szCs w:val="21"/>
        </w:rPr>
        <w:t xml:space="preserve">工作液，迅速混匀后立即于荧光检测仪或酶标仪中检测Renilla </w:t>
      </w:r>
      <w:r w:rsidR="00EF4FAF" w:rsidRPr="00763F48">
        <w:rPr>
          <w:rFonts w:ascii="华文细黑" w:eastAsia="华文细黑" w:hAnsi="华文细黑" w:cs="Arial" w:hint="eastAsia"/>
          <w:kern w:val="0"/>
          <w:szCs w:val="21"/>
        </w:rPr>
        <w:t>L</w:t>
      </w:r>
      <w:r w:rsidRPr="00763F48">
        <w:rPr>
          <w:rFonts w:ascii="华文细黑" w:eastAsia="华文细黑" w:hAnsi="华文细黑" w:cs="Arial" w:hint="eastAsia"/>
          <w:kern w:val="0"/>
          <w:szCs w:val="21"/>
        </w:rPr>
        <w:t>uciferase报告基因活性。</w:t>
      </w:r>
    </w:p>
    <w:p w:rsidR="0023273C" w:rsidRPr="00763F48" w:rsidRDefault="0023273C" w:rsidP="007E6315">
      <w:pPr>
        <w:autoSpaceDE w:val="0"/>
        <w:autoSpaceDN w:val="0"/>
        <w:adjustRightInd w:val="0"/>
        <w:spacing w:line="400" w:lineRule="exact"/>
        <w:jc w:val="center"/>
        <w:rPr>
          <w:rFonts w:ascii="华文细黑" w:eastAsia="华文细黑" w:hAnsi="华文细黑" w:cs="Times New Roman" w:hint="eastAsia"/>
          <w:b/>
          <w:i/>
          <w:color w:val="000000" w:themeColor="text1"/>
          <w:szCs w:val="21"/>
          <w:shd w:val="clear" w:color="auto" w:fill="FFFFFF"/>
        </w:rPr>
      </w:pPr>
    </w:p>
    <w:p w:rsidR="00C57372" w:rsidRDefault="00C57372" w:rsidP="007E6315">
      <w:pPr>
        <w:autoSpaceDE w:val="0"/>
        <w:autoSpaceDN w:val="0"/>
        <w:adjustRightInd w:val="0"/>
        <w:spacing w:line="400" w:lineRule="exact"/>
        <w:jc w:val="center"/>
        <w:rPr>
          <w:rFonts w:ascii="华文细黑" w:eastAsia="华文细黑" w:hAnsi="华文细黑" w:cs="Arial" w:hint="eastAsia"/>
          <w:b/>
          <w:color w:val="000000" w:themeColor="text1"/>
          <w:szCs w:val="21"/>
          <w:shd w:val="clear" w:color="auto" w:fill="FFFFFF"/>
        </w:rPr>
      </w:pPr>
    </w:p>
    <w:p w:rsidR="008C3343" w:rsidRPr="00763F48" w:rsidRDefault="00763F48" w:rsidP="007E6315">
      <w:pPr>
        <w:autoSpaceDE w:val="0"/>
        <w:autoSpaceDN w:val="0"/>
        <w:adjustRightInd w:val="0"/>
        <w:spacing w:line="400" w:lineRule="exact"/>
        <w:jc w:val="center"/>
        <w:rPr>
          <w:rFonts w:ascii="华文细黑" w:eastAsia="华文细黑" w:hAnsi="华文细黑" w:cs="Arial" w:hint="eastAsia"/>
          <w:b/>
          <w:color w:val="000000" w:themeColor="text1"/>
          <w:kern w:val="0"/>
          <w:szCs w:val="21"/>
        </w:rPr>
      </w:pPr>
      <w:r w:rsidRPr="00763F48">
        <w:rPr>
          <w:rFonts w:ascii="华文细黑" w:eastAsia="华文细黑" w:hAnsi="华文细黑" w:cs="Arial" w:hint="eastAsia"/>
          <w:b/>
          <w:color w:val="000000" w:themeColor="text1"/>
          <w:szCs w:val="21"/>
          <w:shd w:val="clear" w:color="auto" w:fill="FFFFFF"/>
        </w:rPr>
        <w:t>仅供科学研究 不得用于临床诊断</w:t>
      </w:r>
    </w:p>
    <w:sectPr w:rsidR="008C3343" w:rsidRPr="00763F48" w:rsidSect="00071EFE">
      <w:footerReference w:type="default" r:id="rId8"/>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162" w:rsidRDefault="005A0162" w:rsidP="0065435B">
      <w:r>
        <w:separator/>
      </w:r>
    </w:p>
  </w:endnote>
  <w:endnote w:type="continuationSeparator" w:id="1">
    <w:p w:rsidR="005A0162" w:rsidRDefault="005A0162" w:rsidP="006543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w:altName w:val="MS Gothic"/>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Yb2gj">
    <w:altName w:val="方正舒体"/>
    <w:panose1 w:val="00000000000000000000"/>
    <w:charset w:val="86"/>
    <w:family w:val="auto"/>
    <w:notTrueType/>
    <w:pitch w:val="default"/>
    <w:sig w:usb0="00000001" w:usb1="080E0000" w:usb2="00000010" w:usb3="00000000" w:csb0="00040000"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9271"/>
      <w:docPartObj>
        <w:docPartGallery w:val="Page Numbers (Bottom of Page)"/>
        <w:docPartUnique/>
      </w:docPartObj>
    </w:sdtPr>
    <w:sdtContent>
      <w:p w:rsidR="009C516F" w:rsidRPr="009C516F" w:rsidRDefault="001A68E2">
        <w:pPr>
          <w:pStyle w:val="a4"/>
          <w:jc w:val="right"/>
        </w:pPr>
        <w:fldSimple w:instr=" PAGE   \* MERGEFORMAT ">
          <w:r w:rsidR="00C57372" w:rsidRPr="00C57372">
            <w:rPr>
              <w:noProof/>
              <w:lang w:val="zh-CN"/>
            </w:rPr>
            <w:t>2</w:t>
          </w:r>
        </w:fldSimple>
      </w:p>
    </w:sdtContent>
  </w:sdt>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162" w:rsidRDefault="005A0162" w:rsidP="0065435B">
      <w:r>
        <w:separator/>
      </w:r>
    </w:p>
  </w:footnote>
  <w:footnote w:type="continuationSeparator" w:id="1">
    <w:p w:rsidR="005A0162" w:rsidRDefault="005A0162"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4F602"/>
    <w:multiLevelType w:val="hybridMultilevel"/>
    <w:tmpl w:val="B25D28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780F1A"/>
    <w:multiLevelType w:val="hybridMultilevel"/>
    <w:tmpl w:val="0804DF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CC577AB"/>
    <w:multiLevelType w:val="multilevel"/>
    <w:tmpl w:val="6FE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7C16ED"/>
    <w:multiLevelType w:val="hybridMultilevel"/>
    <w:tmpl w:val="70E0B7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274481"/>
    <w:multiLevelType w:val="hybridMultilevel"/>
    <w:tmpl w:val="DC39E3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56361B"/>
    <w:multiLevelType w:val="hybridMultilevel"/>
    <w:tmpl w:val="16344B4A"/>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6B5C45"/>
    <w:multiLevelType w:val="multilevel"/>
    <w:tmpl w:val="0360C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9861E"/>
    <w:multiLevelType w:val="hybridMultilevel"/>
    <w:tmpl w:val="7858BE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9"/>
  </w:num>
  <w:num w:numId="4">
    <w:abstractNumId w:val="7"/>
  </w:num>
  <w:num w:numId="5">
    <w:abstractNumId w:val="6"/>
  </w:num>
  <w:num w:numId="6">
    <w:abstractNumId w:val="5"/>
  </w:num>
  <w:num w:numId="7">
    <w:abstractNumId w:val="10"/>
  </w:num>
  <w:num w:numId="8">
    <w:abstractNumId w:val="0"/>
  </w:num>
  <w:num w:numId="9">
    <w:abstractNumId w:val="13"/>
  </w:num>
  <w:num w:numId="10">
    <w:abstractNumId w:val="8"/>
  </w:num>
  <w:num w:numId="11">
    <w:abstractNumId w:val="2"/>
  </w:num>
  <w:num w:numId="12">
    <w:abstractNumId w:val="11"/>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203F1"/>
    <w:rsid w:val="00071EFE"/>
    <w:rsid w:val="000A4EB5"/>
    <w:rsid w:val="000A61A3"/>
    <w:rsid w:val="000B7599"/>
    <w:rsid w:val="000E4C23"/>
    <w:rsid w:val="00127CAE"/>
    <w:rsid w:val="00143960"/>
    <w:rsid w:val="001958C9"/>
    <w:rsid w:val="001A3463"/>
    <w:rsid w:val="001A68E2"/>
    <w:rsid w:val="001E54F8"/>
    <w:rsid w:val="00207748"/>
    <w:rsid w:val="00222CAA"/>
    <w:rsid w:val="0023273C"/>
    <w:rsid w:val="00271E1D"/>
    <w:rsid w:val="002866E9"/>
    <w:rsid w:val="002B27EE"/>
    <w:rsid w:val="002D5E46"/>
    <w:rsid w:val="00311F60"/>
    <w:rsid w:val="00371A2F"/>
    <w:rsid w:val="003A58DA"/>
    <w:rsid w:val="003C31CF"/>
    <w:rsid w:val="0047333B"/>
    <w:rsid w:val="00475678"/>
    <w:rsid w:val="0049205D"/>
    <w:rsid w:val="00495939"/>
    <w:rsid w:val="004D158E"/>
    <w:rsid w:val="004D598B"/>
    <w:rsid w:val="004E6F92"/>
    <w:rsid w:val="005241CE"/>
    <w:rsid w:val="00552AD6"/>
    <w:rsid w:val="00554AB0"/>
    <w:rsid w:val="00557147"/>
    <w:rsid w:val="005A0162"/>
    <w:rsid w:val="005D4CF8"/>
    <w:rsid w:val="00612BA3"/>
    <w:rsid w:val="00623478"/>
    <w:rsid w:val="0065435B"/>
    <w:rsid w:val="00654AAD"/>
    <w:rsid w:val="006848CF"/>
    <w:rsid w:val="00687C62"/>
    <w:rsid w:val="00690FB9"/>
    <w:rsid w:val="00695F96"/>
    <w:rsid w:val="006A0154"/>
    <w:rsid w:val="006E5715"/>
    <w:rsid w:val="006F5A7B"/>
    <w:rsid w:val="0072331A"/>
    <w:rsid w:val="00746621"/>
    <w:rsid w:val="00754FC0"/>
    <w:rsid w:val="00763F48"/>
    <w:rsid w:val="0077383D"/>
    <w:rsid w:val="00794A92"/>
    <w:rsid w:val="007A48A9"/>
    <w:rsid w:val="007E6315"/>
    <w:rsid w:val="0081380C"/>
    <w:rsid w:val="00850168"/>
    <w:rsid w:val="008906ED"/>
    <w:rsid w:val="00893A69"/>
    <w:rsid w:val="008B5655"/>
    <w:rsid w:val="008B5A6C"/>
    <w:rsid w:val="008C3343"/>
    <w:rsid w:val="008C7578"/>
    <w:rsid w:val="00902748"/>
    <w:rsid w:val="00904D45"/>
    <w:rsid w:val="00994670"/>
    <w:rsid w:val="009C516F"/>
    <w:rsid w:val="009E39D2"/>
    <w:rsid w:val="00A34E28"/>
    <w:rsid w:val="00A37FBC"/>
    <w:rsid w:val="00A42706"/>
    <w:rsid w:val="00A42A9B"/>
    <w:rsid w:val="00A75227"/>
    <w:rsid w:val="00AD1737"/>
    <w:rsid w:val="00AE3387"/>
    <w:rsid w:val="00AF03B6"/>
    <w:rsid w:val="00B2778C"/>
    <w:rsid w:val="00C37C0A"/>
    <w:rsid w:val="00C51F22"/>
    <w:rsid w:val="00C57372"/>
    <w:rsid w:val="00C6161A"/>
    <w:rsid w:val="00C729B5"/>
    <w:rsid w:val="00D05324"/>
    <w:rsid w:val="00D77AE7"/>
    <w:rsid w:val="00DF1928"/>
    <w:rsid w:val="00DF27D0"/>
    <w:rsid w:val="00E76797"/>
    <w:rsid w:val="00EB1A28"/>
    <w:rsid w:val="00EC026C"/>
    <w:rsid w:val="00EF4FAF"/>
    <w:rsid w:val="00F10560"/>
    <w:rsid w:val="00F205CE"/>
    <w:rsid w:val="00F26196"/>
    <w:rsid w:val="00F576AA"/>
    <w:rsid w:val="00F94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styleId="aa">
    <w:name w:val="Emphasis"/>
    <w:basedOn w:val="a0"/>
    <w:uiPriority w:val="20"/>
    <w:qFormat/>
    <w:rsid w:val="004D598B"/>
    <w:rPr>
      <w:i/>
      <w:iCs/>
    </w:rPr>
  </w:style>
  <w:style w:type="paragraph" w:styleId="ab">
    <w:name w:val="Normal (Web)"/>
    <w:basedOn w:val="a"/>
    <w:uiPriority w:val="99"/>
    <w:semiHidden/>
    <w:unhideWhenUsed/>
    <w:rsid w:val="004D59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1267061">
      <w:bodyDiv w:val="1"/>
      <w:marLeft w:val="0"/>
      <w:marRight w:val="0"/>
      <w:marTop w:val="0"/>
      <w:marBottom w:val="0"/>
      <w:divBdr>
        <w:top w:val="none" w:sz="0" w:space="0" w:color="auto"/>
        <w:left w:val="none" w:sz="0" w:space="0" w:color="auto"/>
        <w:bottom w:val="none" w:sz="0" w:space="0" w:color="auto"/>
        <w:right w:val="none" w:sz="0" w:space="0" w:color="auto"/>
      </w:divBdr>
      <w:divsChild>
        <w:div w:id="2035881976">
          <w:marLeft w:val="0"/>
          <w:marRight w:val="0"/>
          <w:marTop w:val="0"/>
          <w:marBottom w:val="0"/>
          <w:divBdr>
            <w:top w:val="none" w:sz="0" w:space="0" w:color="auto"/>
            <w:left w:val="none" w:sz="0" w:space="0" w:color="auto"/>
            <w:bottom w:val="none" w:sz="0" w:space="0" w:color="auto"/>
            <w:right w:val="none" w:sz="0" w:space="0" w:color="auto"/>
          </w:divBdr>
          <w:divsChild>
            <w:div w:id="75708043">
              <w:marLeft w:val="0"/>
              <w:marRight w:val="0"/>
              <w:marTop w:val="0"/>
              <w:marBottom w:val="0"/>
              <w:divBdr>
                <w:top w:val="none" w:sz="0" w:space="0" w:color="auto"/>
                <w:left w:val="none" w:sz="0" w:space="0" w:color="auto"/>
                <w:bottom w:val="none" w:sz="0" w:space="0" w:color="auto"/>
                <w:right w:val="none" w:sz="0" w:space="0" w:color="auto"/>
              </w:divBdr>
              <w:divsChild>
                <w:div w:id="1194998978">
                  <w:marLeft w:val="0"/>
                  <w:marRight w:val="0"/>
                  <w:marTop w:val="0"/>
                  <w:marBottom w:val="0"/>
                  <w:divBdr>
                    <w:top w:val="none" w:sz="0" w:space="0" w:color="auto"/>
                    <w:left w:val="none" w:sz="0" w:space="0" w:color="auto"/>
                    <w:bottom w:val="none" w:sz="0" w:space="0" w:color="auto"/>
                    <w:right w:val="none" w:sz="0" w:space="0" w:color="auto"/>
                  </w:divBdr>
                  <w:divsChild>
                    <w:div w:id="1289781025">
                      <w:marLeft w:val="0"/>
                      <w:marRight w:val="0"/>
                      <w:marTop w:val="0"/>
                      <w:marBottom w:val="0"/>
                      <w:divBdr>
                        <w:top w:val="none" w:sz="0" w:space="0" w:color="auto"/>
                        <w:left w:val="none" w:sz="0" w:space="0" w:color="auto"/>
                        <w:bottom w:val="none" w:sz="0" w:space="0" w:color="auto"/>
                        <w:right w:val="none" w:sz="0" w:space="0" w:color="auto"/>
                      </w:divBdr>
                      <w:divsChild>
                        <w:div w:id="12698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92791">
      <w:bodyDiv w:val="1"/>
      <w:marLeft w:val="0"/>
      <w:marRight w:val="0"/>
      <w:marTop w:val="0"/>
      <w:marBottom w:val="0"/>
      <w:divBdr>
        <w:top w:val="none" w:sz="0" w:space="0" w:color="auto"/>
        <w:left w:val="none" w:sz="0" w:space="0" w:color="auto"/>
        <w:bottom w:val="none" w:sz="0" w:space="0" w:color="auto"/>
        <w:right w:val="none" w:sz="0" w:space="0" w:color="auto"/>
      </w:divBdr>
      <w:divsChild>
        <w:div w:id="227225221">
          <w:marLeft w:val="0"/>
          <w:marRight w:val="0"/>
          <w:marTop w:val="0"/>
          <w:marBottom w:val="0"/>
          <w:divBdr>
            <w:top w:val="none" w:sz="0" w:space="0" w:color="auto"/>
            <w:left w:val="none" w:sz="0" w:space="0" w:color="auto"/>
            <w:bottom w:val="none" w:sz="0" w:space="0" w:color="auto"/>
            <w:right w:val="none" w:sz="0" w:space="0" w:color="auto"/>
          </w:divBdr>
          <w:divsChild>
            <w:div w:id="1166359139">
              <w:marLeft w:val="0"/>
              <w:marRight w:val="0"/>
              <w:marTop w:val="0"/>
              <w:marBottom w:val="0"/>
              <w:divBdr>
                <w:top w:val="none" w:sz="0" w:space="0" w:color="auto"/>
                <w:left w:val="none" w:sz="0" w:space="0" w:color="auto"/>
                <w:bottom w:val="none" w:sz="0" w:space="0" w:color="auto"/>
                <w:right w:val="none" w:sz="0" w:space="0" w:color="auto"/>
              </w:divBdr>
              <w:divsChild>
                <w:div w:id="480924666">
                  <w:marLeft w:val="0"/>
                  <w:marRight w:val="0"/>
                  <w:marTop w:val="0"/>
                  <w:marBottom w:val="0"/>
                  <w:divBdr>
                    <w:top w:val="none" w:sz="0" w:space="0" w:color="auto"/>
                    <w:left w:val="none" w:sz="0" w:space="0" w:color="auto"/>
                    <w:bottom w:val="none" w:sz="0" w:space="0" w:color="auto"/>
                    <w:right w:val="none" w:sz="0" w:space="0" w:color="auto"/>
                  </w:divBdr>
                  <w:divsChild>
                    <w:div w:id="784933154">
                      <w:marLeft w:val="0"/>
                      <w:marRight w:val="0"/>
                      <w:marTop w:val="0"/>
                      <w:marBottom w:val="0"/>
                      <w:divBdr>
                        <w:top w:val="none" w:sz="0" w:space="0" w:color="auto"/>
                        <w:left w:val="none" w:sz="0" w:space="0" w:color="auto"/>
                        <w:bottom w:val="none" w:sz="0" w:space="0" w:color="auto"/>
                        <w:right w:val="none" w:sz="0" w:space="0" w:color="auto"/>
                      </w:divBdr>
                      <w:divsChild>
                        <w:div w:id="108089354">
                          <w:marLeft w:val="0"/>
                          <w:marRight w:val="0"/>
                          <w:marTop w:val="600"/>
                          <w:marBottom w:val="0"/>
                          <w:divBdr>
                            <w:top w:val="none" w:sz="0" w:space="0" w:color="auto"/>
                            <w:left w:val="none" w:sz="0" w:space="0" w:color="auto"/>
                            <w:bottom w:val="none" w:sz="0" w:space="0" w:color="auto"/>
                            <w:right w:val="none" w:sz="0" w:space="0" w:color="auto"/>
                          </w:divBdr>
                          <w:divsChild>
                            <w:div w:id="1777286732">
                              <w:marLeft w:val="0"/>
                              <w:marRight w:val="0"/>
                              <w:marTop w:val="0"/>
                              <w:marBottom w:val="0"/>
                              <w:divBdr>
                                <w:top w:val="none" w:sz="0" w:space="0" w:color="auto"/>
                                <w:left w:val="none" w:sz="0" w:space="0" w:color="auto"/>
                                <w:bottom w:val="none" w:sz="0" w:space="0" w:color="auto"/>
                                <w:right w:val="none" w:sz="0" w:space="0" w:color="auto"/>
                              </w:divBdr>
                              <w:divsChild>
                                <w:div w:id="1856504551">
                                  <w:marLeft w:val="0"/>
                                  <w:marRight w:val="0"/>
                                  <w:marTop w:val="300"/>
                                  <w:marBottom w:val="0"/>
                                  <w:divBdr>
                                    <w:top w:val="none" w:sz="0" w:space="0" w:color="auto"/>
                                    <w:left w:val="none" w:sz="0" w:space="0" w:color="auto"/>
                                    <w:bottom w:val="none" w:sz="0" w:space="0" w:color="auto"/>
                                    <w:right w:val="none" w:sz="0" w:space="0" w:color="auto"/>
                                  </w:divBdr>
                                  <w:divsChild>
                                    <w:div w:id="832336046">
                                      <w:marLeft w:val="0"/>
                                      <w:marRight w:val="0"/>
                                      <w:marTop w:val="0"/>
                                      <w:marBottom w:val="0"/>
                                      <w:divBdr>
                                        <w:top w:val="none" w:sz="0" w:space="0" w:color="auto"/>
                                        <w:left w:val="none" w:sz="0" w:space="0" w:color="auto"/>
                                        <w:bottom w:val="none" w:sz="0" w:space="0" w:color="auto"/>
                                        <w:right w:val="none" w:sz="0" w:space="0" w:color="auto"/>
                                      </w:divBdr>
                                      <w:divsChild>
                                        <w:div w:id="736905412">
                                          <w:marLeft w:val="0"/>
                                          <w:marRight w:val="0"/>
                                          <w:marTop w:val="0"/>
                                          <w:marBottom w:val="0"/>
                                          <w:divBdr>
                                            <w:top w:val="none" w:sz="0" w:space="0" w:color="auto"/>
                                            <w:left w:val="none" w:sz="0" w:space="0" w:color="auto"/>
                                            <w:bottom w:val="none" w:sz="0" w:space="0" w:color="auto"/>
                                            <w:right w:val="none" w:sz="0" w:space="0" w:color="auto"/>
                                          </w:divBdr>
                                          <w:divsChild>
                                            <w:div w:id="1242452442">
                                              <w:marLeft w:val="0"/>
                                              <w:marRight w:val="0"/>
                                              <w:marTop w:val="0"/>
                                              <w:marBottom w:val="0"/>
                                              <w:divBdr>
                                                <w:top w:val="none" w:sz="0" w:space="0" w:color="auto"/>
                                                <w:left w:val="none" w:sz="0" w:space="0" w:color="auto"/>
                                                <w:bottom w:val="none" w:sz="0" w:space="0" w:color="auto"/>
                                                <w:right w:val="none" w:sz="0" w:space="0" w:color="auto"/>
                                              </w:divBdr>
                                              <w:divsChild>
                                                <w:div w:id="950670322">
                                                  <w:marLeft w:val="0"/>
                                                  <w:marRight w:val="0"/>
                                                  <w:marTop w:val="100"/>
                                                  <w:marBottom w:val="100"/>
                                                  <w:divBdr>
                                                    <w:top w:val="none" w:sz="0" w:space="0" w:color="auto"/>
                                                    <w:left w:val="none" w:sz="0" w:space="0" w:color="auto"/>
                                                    <w:bottom w:val="none" w:sz="0" w:space="0" w:color="auto"/>
                                                    <w:right w:val="none" w:sz="0" w:space="0" w:color="auto"/>
                                                  </w:divBdr>
                                                  <w:divsChild>
                                                    <w:div w:id="12301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89219">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012998530">
      <w:bodyDiv w:val="1"/>
      <w:marLeft w:val="0"/>
      <w:marRight w:val="0"/>
      <w:marTop w:val="0"/>
      <w:marBottom w:val="0"/>
      <w:divBdr>
        <w:top w:val="none" w:sz="0" w:space="0" w:color="auto"/>
        <w:left w:val="none" w:sz="0" w:space="0" w:color="auto"/>
        <w:bottom w:val="none" w:sz="0" w:space="0" w:color="auto"/>
        <w:right w:val="none" w:sz="0" w:space="0" w:color="auto"/>
      </w:divBdr>
      <w:divsChild>
        <w:div w:id="1455441800">
          <w:marLeft w:val="0"/>
          <w:marRight w:val="0"/>
          <w:marTop w:val="0"/>
          <w:marBottom w:val="0"/>
          <w:divBdr>
            <w:top w:val="none" w:sz="0" w:space="0" w:color="auto"/>
            <w:left w:val="none" w:sz="0" w:space="0" w:color="auto"/>
            <w:bottom w:val="none" w:sz="0" w:space="0" w:color="auto"/>
            <w:right w:val="none" w:sz="0" w:space="0" w:color="auto"/>
          </w:divBdr>
        </w:div>
      </w:divsChild>
    </w:div>
    <w:div w:id="1388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3198672">
          <w:marLeft w:val="0"/>
          <w:marRight w:val="0"/>
          <w:marTop w:val="0"/>
          <w:marBottom w:val="0"/>
          <w:divBdr>
            <w:top w:val="none" w:sz="0" w:space="0" w:color="auto"/>
            <w:left w:val="none" w:sz="0" w:space="0" w:color="auto"/>
            <w:bottom w:val="none" w:sz="0" w:space="0" w:color="auto"/>
            <w:right w:val="none" w:sz="0" w:space="0" w:color="auto"/>
          </w:divBdr>
        </w:div>
      </w:divsChild>
    </w:div>
    <w:div w:id="1471242252">
      <w:bodyDiv w:val="1"/>
      <w:marLeft w:val="0"/>
      <w:marRight w:val="0"/>
      <w:marTop w:val="0"/>
      <w:marBottom w:val="0"/>
      <w:divBdr>
        <w:top w:val="none" w:sz="0" w:space="0" w:color="auto"/>
        <w:left w:val="none" w:sz="0" w:space="0" w:color="auto"/>
        <w:bottom w:val="none" w:sz="0" w:space="0" w:color="auto"/>
        <w:right w:val="none" w:sz="0" w:space="0" w:color="auto"/>
      </w:divBdr>
      <w:divsChild>
        <w:div w:id="120199604">
          <w:marLeft w:val="360"/>
          <w:marRight w:val="0"/>
          <w:marTop w:val="0"/>
          <w:marBottom w:val="0"/>
          <w:divBdr>
            <w:top w:val="none" w:sz="0" w:space="0" w:color="auto"/>
            <w:left w:val="none" w:sz="0" w:space="0" w:color="auto"/>
            <w:bottom w:val="none" w:sz="0" w:space="0" w:color="auto"/>
            <w:right w:val="none" w:sz="0" w:space="0" w:color="auto"/>
          </w:divBdr>
        </w:div>
        <w:div w:id="217594155">
          <w:marLeft w:val="360"/>
          <w:marRight w:val="0"/>
          <w:marTop w:val="0"/>
          <w:marBottom w:val="0"/>
          <w:divBdr>
            <w:top w:val="none" w:sz="0" w:space="0" w:color="auto"/>
            <w:left w:val="none" w:sz="0" w:space="0" w:color="auto"/>
            <w:bottom w:val="none" w:sz="0" w:space="0" w:color="auto"/>
            <w:right w:val="none" w:sz="0" w:space="0" w:color="auto"/>
          </w:divBdr>
        </w:div>
        <w:div w:id="363873660">
          <w:marLeft w:val="360"/>
          <w:marRight w:val="0"/>
          <w:marTop w:val="0"/>
          <w:marBottom w:val="0"/>
          <w:divBdr>
            <w:top w:val="none" w:sz="0" w:space="0" w:color="auto"/>
            <w:left w:val="none" w:sz="0" w:space="0" w:color="auto"/>
            <w:bottom w:val="none" w:sz="0" w:space="0" w:color="auto"/>
            <w:right w:val="none" w:sz="0" w:space="0" w:color="auto"/>
          </w:divBdr>
        </w:div>
        <w:div w:id="601570206">
          <w:marLeft w:val="360"/>
          <w:marRight w:val="0"/>
          <w:marTop w:val="0"/>
          <w:marBottom w:val="0"/>
          <w:divBdr>
            <w:top w:val="none" w:sz="0" w:space="0" w:color="auto"/>
            <w:left w:val="none" w:sz="0" w:space="0" w:color="auto"/>
            <w:bottom w:val="none" w:sz="0" w:space="0" w:color="auto"/>
            <w:right w:val="none" w:sz="0" w:space="0" w:color="auto"/>
          </w:divBdr>
        </w:div>
        <w:div w:id="737822970">
          <w:marLeft w:val="360"/>
          <w:marRight w:val="0"/>
          <w:marTop w:val="0"/>
          <w:marBottom w:val="0"/>
          <w:divBdr>
            <w:top w:val="none" w:sz="0" w:space="0" w:color="auto"/>
            <w:left w:val="none" w:sz="0" w:space="0" w:color="auto"/>
            <w:bottom w:val="none" w:sz="0" w:space="0" w:color="auto"/>
            <w:right w:val="none" w:sz="0" w:space="0" w:color="auto"/>
          </w:divBdr>
        </w:div>
        <w:div w:id="984045713">
          <w:marLeft w:val="0"/>
          <w:marRight w:val="0"/>
          <w:marTop w:val="0"/>
          <w:marBottom w:val="0"/>
          <w:divBdr>
            <w:top w:val="none" w:sz="0" w:space="0" w:color="auto"/>
            <w:left w:val="none" w:sz="0" w:space="0" w:color="auto"/>
            <w:bottom w:val="none" w:sz="0" w:space="0" w:color="auto"/>
            <w:right w:val="none" w:sz="0" w:space="0" w:color="auto"/>
          </w:divBdr>
        </w:div>
        <w:div w:id="1057777982">
          <w:marLeft w:val="360"/>
          <w:marRight w:val="0"/>
          <w:marTop w:val="0"/>
          <w:marBottom w:val="0"/>
          <w:divBdr>
            <w:top w:val="none" w:sz="0" w:space="0" w:color="auto"/>
            <w:left w:val="none" w:sz="0" w:space="0" w:color="auto"/>
            <w:bottom w:val="none" w:sz="0" w:space="0" w:color="auto"/>
            <w:right w:val="none" w:sz="0" w:space="0" w:color="auto"/>
          </w:divBdr>
        </w:div>
        <w:div w:id="1197814328">
          <w:marLeft w:val="360"/>
          <w:marRight w:val="0"/>
          <w:marTop w:val="0"/>
          <w:marBottom w:val="0"/>
          <w:divBdr>
            <w:top w:val="none" w:sz="0" w:space="0" w:color="auto"/>
            <w:left w:val="none" w:sz="0" w:space="0" w:color="auto"/>
            <w:bottom w:val="none" w:sz="0" w:space="0" w:color="auto"/>
            <w:right w:val="none" w:sz="0" w:space="0" w:color="auto"/>
          </w:divBdr>
        </w:div>
        <w:div w:id="1221987133">
          <w:marLeft w:val="360"/>
          <w:marRight w:val="0"/>
          <w:marTop w:val="0"/>
          <w:marBottom w:val="0"/>
          <w:divBdr>
            <w:top w:val="none" w:sz="0" w:space="0" w:color="auto"/>
            <w:left w:val="none" w:sz="0" w:space="0" w:color="auto"/>
            <w:bottom w:val="none" w:sz="0" w:space="0" w:color="auto"/>
            <w:right w:val="none" w:sz="0" w:space="0" w:color="auto"/>
          </w:divBdr>
        </w:div>
        <w:div w:id="1227448803">
          <w:marLeft w:val="0"/>
          <w:marRight w:val="0"/>
          <w:marTop w:val="0"/>
          <w:marBottom w:val="0"/>
          <w:divBdr>
            <w:top w:val="none" w:sz="0" w:space="0" w:color="auto"/>
            <w:left w:val="none" w:sz="0" w:space="0" w:color="auto"/>
            <w:bottom w:val="none" w:sz="0" w:space="0" w:color="auto"/>
            <w:right w:val="none" w:sz="0" w:space="0" w:color="auto"/>
          </w:divBdr>
        </w:div>
        <w:div w:id="1635478018">
          <w:marLeft w:val="360"/>
          <w:marRight w:val="0"/>
          <w:marTop w:val="0"/>
          <w:marBottom w:val="0"/>
          <w:divBdr>
            <w:top w:val="none" w:sz="0" w:space="0" w:color="auto"/>
            <w:left w:val="none" w:sz="0" w:space="0" w:color="auto"/>
            <w:bottom w:val="none" w:sz="0" w:space="0" w:color="auto"/>
            <w:right w:val="none" w:sz="0" w:space="0" w:color="auto"/>
          </w:divBdr>
        </w:div>
      </w:divsChild>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81530103">
          <w:marLeft w:val="0"/>
          <w:marRight w:val="0"/>
          <w:marTop w:val="0"/>
          <w:marBottom w:val="0"/>
          <w:divBdr>
            <w:top w:val="none" w:sz="0" w:space="0" w:color="auto"/>
            <w:left w:val="none" w:sz="0" w:space="0" w:color="auto"/>
            <w:bottom w:val="none" w:sz="0" w:space="0" w:color="auto"/>
            <w:right w:val="none" w:sz="0" w:space="0" w:color="auto"/>
          </w:divBdr>
        </w:div>
        <w:div w:id="1702779834">
          <w:marLeft w:val="0"/>
          <w:marRight w:val="0"/>
          <w:marTop w:val="0"/>
          <w:marBottom w:val="0"/>
          <w:divBdr>
            <w:top w:val="none" w:sz="0" w:space="0" w:color="auto"/>
            <w:left w:val="none" w:sz="0" w:space="0" w:color="auto"/>
            <w:bottom w:val="none" w:sz="0" w:space="0" w:color="auto"/>
            <w:right w:val="none" w:sz="0" w:space="0" w:color="auto"/>
          </w:divBdr>
        </w:div>
      </w:divsChild>
    </w:div>
    <w:div w:id="21168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genb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Links>
    <vt:vector size="6" baseType="variant">
      <vt:variant>
        <vt:i4>5439508</vt:i4>
      </vt:variant>
      <vt:variant>
        <vt:i4>0</vt:i4>
      </vt:variant>
      <vt:variant>
        <vt:i4>0</vt:i4>
      </vt:variant>
      <vt:variant>
        <vt:i4>5</vt:i4>
      </vt:variant>
      <vt:variant>
        <vt:lpwstr>http://www.mesgenbio.com/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Windows 用户</cp:lastModifiedBy>
  <cp:revision>3</cp:revision>
  <cp:lastPrinted>2018-03-13T13:48:00Z</cp:lastPrinted>
  <dcterms:created xsi:type="dcterms:W3CDTF">2014-09-10T07:38:00Z</dcterms:created>
  <dcterms:modified xsi:type="dcterms:W3CDTF">2018-03-30T12:43:00Z</dcterms:modified>
</cp:coreProperties>
</file>