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351AFD" w:rsidP="00424A04">
      <w:pPr>
        <w:spacing w:line="360" w:lineRule="exact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f243e [1615]" strokecolor="black [3213]" strokeweight="1.5pt">
            <v:textbox style="mso-next-textbox:#_x0000_s2050">
              <w:txbxContent>
                <w:p w:rsidR="008E1261" w:rsidRPr="00EC608B" w:rsidRDefault="00EC608B" w:rsidP="00076C42">
                  <w:pPr>
                    <w:rPr>
                      <w:rFonts w:ascii="Cambria" w:hAnsi="Cambr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</w:pPr>
                  <w:r w:rsidRPr="00EC608B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﻿SRB Cell Proliferation and </w:t>
                  </w:r>
                  <w:proofErr w:type="spellStart"/>
                  <w:r w:rsidRPr="00EC608B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Cytotoxicity</w:t>
                  </w:r>
                  <w:proofErr w:type="spellEnd"/>
                  <w:r w:rsidRPr="00EC608B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Assay</w:t>
                  </w:r>
                  <w:r>
                    <w:rPr>
                      <w:rFonts w:ascii="Cambria" w:hAnsi="Cambr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</w:t>
                  </w:r>
                  <w:r w:rsidRPr="00EC608B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Kit</w:t>
                  </w:r>
                  <w:r>
                    <w:rPr>
                      <w:rFonts w:ascii="Cambria" w:hAnsi="Cambr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        MG6433</w:t>
                  </w:r>
                </w:p>
              </w:txbxContent>
            </v:textbox>
          </v:shape>
        </w:pict>
      </w:r>
    </w:p>
    <w:p w:rsidR="00DF27D0" w:rsidRDefault="00DF27D0" w:rsidP="00424A04">
      <w:pPr>
        <w:spacing w:line="360" w:lineRule="exact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695F96" w:rsidRDefault="00351AFD" w:rsidP="00424A04">
      <w:pPr>
        <w:spacing w:line="360" w:lineRule="exact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2.15pt;margin-top:8.4pt;width:383.55pt;height:42.75pt;z-index:251661312;mso-width-relative:margin;mso-height-relative:margin" fillcolor="#0f243e [1615]" strokecolor="black [3213]" strokeweight="1.5pt">
            <v:textbox style="mso-next-textbox:#_x0000_s2051">
              <w:txbxContent>
                <w:p w:rsidR="008E1261" w:rsidRPr="002C252D" w:rsidRDefault="008E1261" w:rsidP="003C38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mbria" w:eastAsia="Meiryo" w:hAnsi="Cambria" w:cs="Meiry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Technical literature is available at: </w:t>
                  </w:r>
                  <w:hyperlink r:id="rId7" w:history="1">
                    <w:r w:rsidRPr="002C252D">
                      <w:rPr>
                        <w:rStyle w:val="a9"/>
                        <w:rFonts w:ascii="Cambria" w:eastAsia="Meiryo" w:hAnsi="Cambria" w:cs="Meiryo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tech@mesgenbio.com</w:t>
                  </w:r>
                </w:p>
              </w:txbxContent>
            </v:textbox>
          </v:shape>
        </w:pict>
      </w:r>
    </w:p>
    <w:p w:rsidR="000B2405" w:rsidRDefault="000B2405" w:rsidP="00424A04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30480</wp:posOffset>
            </wp:positionV>
            <wp:extent cx="1657350" cy="4762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05" w:rsidRDefault="000B2405" w:rsidP="00424A04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</w:p>
    <w:p w:rsidR="00AD1737" w:rsidRPr="002C252D" w:rsidRDefault="002F133F" w:rsidP="00EC608B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产品原理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EC608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本试剂盒是一种常用的比色法检测细胞增殖和毒性的试剂盒，其检测原理：</w:t>
      </w:r>
      <w:proofErr w:type="gramStart"/>
      <w:r w:rsidRPr="00EC608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磺</w:t>
      </w:r>
      <w:proofErr w:type="gramEnd"/>
      <w:r w:rsidRPr="00EC608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酰罗丹明（</w:t>
      </w:r>
      <w:proofErr w:type="spellStart"/>
      <w:r w:rsidRPr="00EC608B">
        <w:rPr>
          <w:rFonts w:ascii="Arial" w:eastAsia="微软雅黑" w:hAnsi="Arial" w:cs="Arial"/>
          <w:color w:val="000000"/>
          <w:sz w:val="18"/>
          <w:szCs w:val="18"/>
          <w:shd w:val="clear" w:color="auto" w:fill="FFFFFF"/>
        </w:rPr>
        <w:t>Sulforhodamine</w:t>
      </w:r>
      <w:proofErr w:type="spellEnd"/>
      <w:r w:rsidRPr="00EC608B">
        <w:rPr>
          <w:rFonts w:ascii="Arial" w:eastAsia="微软雅黑" w:hAnsi="Arial" w:cs="Arial"/>
          <w:color w:val="000000"/>
          <w:sz w:val="18"/>
          <w:szCs w:val="18"/>
          <w:shd w:val="clear" w:color="auto" w:fill="FFFFFF"/>
        </w:rPr>
        <w:t xml:space="preserve"> B</w:t>
      </w:r>
      <w:r w:rsidRPr="00EC608B">
        <w:rPr>
          <w:rFonts w:ascii="Arial" w:eastAsia="微软雅黑" w:hAnsi="微软雅黑" w:cs="Arial"/>
          <w:color w:val="000000"/>
          <w:sz w:val="18"/>
          <w:szCs w:val="18"/>
          <w:shd w:val="clear" w:color="auto" w:fill="FFFFFF"/>
        </w:rPr>
        <w:t>，</w:t>
      </w:r>
      <w:r w:rsidRPr="00EC608B">
        <w:rPr>
          <w:rFonts w:ascii="Arial" w:eastAsia="微软雅黑" w:hAnsi="Arial" w:cs="Arial"/>
          <w:color w:val="000000"/>
          <w:sz w:val="18"/>
          <w:szCs w:val="18"/>
          <w:shd w:val="clear" w:color="auto" w:fill="FFFFFF"/>
        </w:rPr>
        <w:t>SRB</w:t>
      </w:r>
      <w:r w:rsidRPr="00EC608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）是一种水溶性蛋白染料，能与细胞内蛋白碱性氨基酸结合形成复合物，其结合于细胞中总蛋白量的多少可以反映细胞数的多少。在</w:t>
      </w:r>
      <w:r w:rsidRPr="00EC608B">
        <w:rPr>
          <w:rFonts w:ascii="Arial" w:eastAsia="微软雅黑" w:hAnsi="Arial" w:cs="Arial"/>
          <w:color w:val="000000"/>
          <w:sz w:val="18"/>
          <w:szCs w:val="18"/>
          <w:shd w:val="clear" w:color="auto" w:fill="FFFFFF"/>
        </w:rPr>
        <w:t>515nm</w:t>
      </w:r>
      <w:r w:rsidRPr="00EC608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波长处测得的吸光值与细胞数呈良好的线性关系。本试剂盒检测速度快、线性好、操作简单方便。</w:t>
      </w:r>
    </w:p>
    <w:p w:rsidR="005D4CF8" w:rsidRPr="00C37C0A" w:rsidRDefault="005D4CF8" w:rsidP="00EC608B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694"/>
        <w:gridCol w:w="2410"/>
        <w:gridCol w:w="2551"/>
        <w:gridCol w:w="2551"/>
      </w:tblGrid>
      <w:tr w:rsidR="00EC608B" w:rsidRPr="00071EFE" w:rsidTr="00EC608B">
        <w:tc>
          <w:tcPr>
            <w:tcW w:w="2694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  <w:vAlign w:val="center"/>
          </w:tcPr>
          <w:p w:rsidR="00EC608B" w:rsidRPr="00071EFE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41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500 tests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  <w:t>1000 tests</w:t>
            </w:r>
          </w:p>
        </w:tc>
        <w:tc>
          <w:tcPr>
            <w:tcW w:w="2551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b/>
                <w:color w:val="FFFFFF" w:themeColor="background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微软雅黑" w:cs="Arial"/>
                <w:b/>
                <w:color w:val="FFFFFF" w:themeColor="background1"/>
                <w:kern w:val="0"/>
                <w:sz w:val="18"/>
                <w:szCs w:val="18"/>
              </w:rPr>
              <w:t>保存条件</w:t>
            </w:r>
          </w:p>
        </w:tc>
      </w:tr>
      <w:tr w:rsidR="00EC608B" w:rsidRPr="00071EFE" w:rsidTr="00EC608B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F</w:t>
            </w: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ixation buffer </w:t>
            </w:r>
            <w:r w:rsidRPr="00EC608B"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固定液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sz w:val="18"/>
                <w:szCs w:val="18"/>
              </w:rPr>
              <w:t>2-8</w:t>
            </w:r>
            <w:r w:rsidRPr="00EC608B">
              <w:rPr>
                <w:rFonts w:ascii="Arial" w:eastAsia="微软雅黑" w:hAnsi="微软雅黑" w:cs="Arial"/>
                <w:sz w:val="18"/>
                <w:szCs w:val="18"/>
              </w:rPr>
              <w:t>℃</w:t>
            </w:r>
          </w:p>
        </w:tc>
      </w:tr>
      <w:tr w:rsidR="00EC608B" w:rsidRPr="00071EFE" w:rsidTr="00EC608B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Washing buffer 1 </w:t>
            </w:r>
            <w:r w:rsidRPr="00EC608B"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清洗液</w:t>
            </w: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2*100mL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sz w:val="18"/>
                <w:szCs w:val="18"/>
              </w:rPr>
              <w:t>2-8</w:t>
            </w:r>
            <w:r w:rsidRPr="00EC608B">
              <w:rPr>
                <w:rFonts w:ascii="Arial" w:eastAsia="微软雅黑" w:hAnsi="微软雅黑" w:cs="Arial"/>
                <w:sz w:val="18"/>
                <w:szCs w:val="18"/>
              </w:rPr>
              <w:t>℃</w:t>
            </w:r>
          </w:p>
        </w:tc>
      </w:tr>
      <w:tr w:rsidR="00EC608B" w:rsidRPr="00071EFE" w:rsidTr="00EC608B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Staining buffer </w:t>
            </w:r>
            <w:r w:rsidRPr="00EC608B"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染色液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25mL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sz w:val="18"/>
                <w:szCs w:val="18"/>
              </w:rPr>
              <w:t>2-8</w:t>
            </w:r>
            <w:r w:rsidRPr="00EC608B">
              <w:rPr>
                <w:rFonts w:ascii="Arial" w:eastAsia="微软雅黑" w:hAnsi="微软雅黑" w:cs="Arial"/>
                <w:sz w:val="18"/>
                <w:szCs w:val="18"/>
              </w:rPr>
              <w:t>℃</w:t>
            </w:r>
          </w:p>
        </w:tc>
      </w:tr>
      <w:tr w:rsidR="00EC608B" w:rsidRPr="00071EFE" w:rsidTr="00EC608B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Washing buffer 2 </w:t>
            </w:r>
            <w:r w:rsidRPr="00EC608B"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清洗液</w:t>
            </w: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2*500mL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sz w:val="18"/>
                <w:szCs w:val="18"/>
              </w:rPr>
              <w:t>2-8</w:t>
            </w:r>
            <w:r w:rsidRPr="00EC608B">
              <w:rPr>
                <w:rFonts w:ascii="Arial" w:eastAsia="微软雅黑" w:hAnsi="微软雅黑" w:cs="Arial"/>
                <w:sz w:val="18"/>
                <w:szCs w:val="18"/>
              </w:rPr>
              <w:t>℃</w:t>
            </w:r>
          </w:p>
        </w:tc>
      </w:tr>
      <w:tr w:rsidR="00EC608B" w:rsidRPr="00071EFE" w:rsidTr="00EC608B"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kern w:val="0"/>
                <w:sz w:val="20"/>
                <w:szCs w:val="20"/>
              </w:rPr>
            </w:pPr>
            <w:r w:rsidRPr="00EC608B">
              <w:rPr>
                <w:rFonts w:ascii="Arial" w:eastAsia="微软雅黑" w:hAnsi="Arial" w:cs="Arial"/>
                <w:kern w:val="0"/>
                <w:sz w:val="18"/>
                <w:szCs w:val="18"/>
              </w:rPr>
              <w:t xml:space="preserve">Dissolving Solution </w:t>
            </w:r>
            <w:r w:rsidRPr="00EC608B"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溶解液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50mL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100mL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C608B" w:rsidRPr="00EC608B" w:rsidRDefault="00EC608B" w:rsidP="00EC608B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C608B">
              <w:rPr>
                <w:rFonts w:ascii="Arial" w:eastAsia="微软雅黑" w:hAnsi="Arial" w:cs="Arial"/>
                <w:sz w:val="18"/>
                <w:szCs w:val="18"/>
              </w:rPr>
              <w:t>2-8</w:t>
            </w:r>
            <w:r w:rsidRPr="00EC608B">
              <w:rPr>
                <w:rFonts w:ascii="Arial" w:eastAsia="微软雅黑" w:hAnsi="微软雅黑" w:cs="Arial"/>
                <w:sz w:val="18"/>
                <w:szCs w:val="18"/>
              </w:rPr>
              <w:t>℃</w:t>
            </w:r>
          </w:p>
        </w:tc>
      </w:tr>
    </w:tbl>
    <w:p w:rsidR="00076C42" w:rsidRDefault="00AD1737" w:rsidP="00EC608B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  <w:r w:rsidR="00EC608B" w:rsidRPr="00EC608B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（以</w:t>
      </w:r>
      <w:r w:rsidR="00EC608B" w:rsidRPr="00EC608B">
        <w:rPr>
          <w:rFonts w:ascii="Arial" w:eastAsia="微软雅黑" w:hAnsi="Arial" w:cs="Arial"/>
          <w:b/>
          <w:color w:val="000000" w:themeColor="text1"/>
          <w:kern w:val="0"/>
          <w:szCs w:val="21"/>
        </w:rPr>
        <w:t>96</w:t>
      </w:r>
      <w:r w:rsidR="00EC608B" w:rsidRPr="00EC608B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孔板为例）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 w:rsidRPr="0061340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取出细胞，弃去培养</w:t>
      </w:r>
      <w:r>
        <w:rPr>
          <w:rFonts w:ascii="微软雅黑" w:eastAsia="微软雅黑" w:hAnsi="微软雅黑" w:cs="Times New Roman" w:hint="eastAsia"/>
          <w:sz w:val="18"/>
          <w:szCs w:val="18"/>
        </w:rPr>
        <w:t>基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；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小心加入固定液，每孔</w:t>
      </w:r>
      <w:r>
        <w:rPr>
          <w:rFonts w:ascii="微软雅黑" w:eastAsia="微软雅黑" w:hAnsi="微软雅黑" w:cs="Times New Roman" w:hint="eastAsia"/>
          <w:sz w:val="18"/>
          <w:szCs w:val="18"/>
        </w:rPr>
        <w:t>100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μL，4℃孵育</w:t>
      </w:r>
      <w:r>
        <w:rPr>
          <w:rFonts w:ascii="微软雅黑" w:eastAsia="微软雅黑" w:hAnsi="微软雅黑" w:cs="Times New Roman" w:hint="eastAsia"/>
          <w:sz w:val="18"/>
          <w:szCs w:val="18"/>
        </w:rPr>
        <w:t>1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h，弃去固定液；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3：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加入清洗液1，每孔</w:t>
      </w:r>
      <w:r>
        <w:rPr>
          <w:rFonts w:ascii="微软雅黑" w:eastAsia="微软雅黑" w:hAnsi="微软雅黑" w:cs="Times New Roman" w:hint="eastAsia"/>
          <w:sz w:val="18"/>
          <w:szCs w:val="18"/>
        </w:rPr>
        <w:t>100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μL，</w:t>
      </w:r>
      <w:proofErr w:type="gramStart"/>
      <w:r w:rsidRPr="00EC608B">
        <w:rPr>
          <w:rFonts w:ascii="微软雅黑" w:eastAsia="微软雅黑" w:hAnsi="微软雅黑" w:cs="Times New Roman" w:hint="eastAsia"/>
          <w:sz w:val="18"/>
          <w:szCs w:val="18"/>
        </w:rPr>
        <w:t>室温下静置</w:t>
      </w:r>
      <w:proofErr w:type="gramEnd"/>
      <w:r>
        <w:rPr>
          <w:rFonts w:ascii="微软雅黑" w:eastAsia="微软雅黑" w:hAnsi="微软雅黑" w:cs="Times New Roman" w:hint="eastAsia"/>
          <w:sz w:val="18"/>
          <w:szCs w:val="18"/>
        </w:rPr>
        <w:t>30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s，弃去清洗液1，重复该步骤；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4：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加入染色液，每孔</w:t>
      </w:r>
      <w:r>
        <w:rPr>
          <w:rFonts w:ascii="微软雅黑" w:eastAsia="微软雅黑" w:hAnsi="微软雅黑" w:cs="Times New Roman" w:hint="eastAsia"/>
          <w:sz w:val="18"/>
          <w:szCs w:val="18"/>
        </w:rPr>
        <w:t>50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μL，室温下避光孵育</w:t>
      </w:r>
      <w:r>
        <w:rPr>
          <w:rFonts w:ascii="微软雅黑" w:eastAsia="微软雅黑" w:hAnsi="微软雅黑" w:cs="Times New Roman" w:hint="eastAsia"/>
          <w:sz w:val="18"/>
          <w:szCs w:val="18"/>
        </w:rPr>
        <w:t>15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min，弃去染色液；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加入清洗液2，每孔</w:t>
      </w:r>
      <w:r>
        <w:rPr>
          <w:rFonts w:ascii="微软雅黑" w:eastAsia="微软雅黑" w:hAnsi="微软雅黑" w:cs="Times New Roman" w:hint="eastAsia"/>
          <w:sz w:val="18"/>
          <w:szCs w:val="18"/>
        </w:rPr>
        <w:t>100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μL，弃去清洗液2（该步骤</w:t>
      </w:r>
      <w:proofErr w:type="gramStart"/>
      <w:r w:rsidRPr="00EC608B">
        <w:rPr>
          <w:rFonts w:ascii="微软雅黑" w:eastAsia="微软雅黑" w:hAnsi="微软雅黑" w:cs="Times New Roman" w:hint="eastAsia"/>
          <w:sz w:val="18"/>
          <w:szCs w:val="18"/>
        </w:rPr>
        <w:t>需快速</w:t>
      </w:r>
      <w:proofErr w:type="gramEnd"/>
      <w:r w:rsidRPr="00EC608B">
        <w:rPr>
          <w:rFonts w:ascii="微软雅黑" w:eastAsia="微软雅黑" w:hAnsi="微软雅黑" w:cs="Times New Roman" w:hint="eastAsia"/>
          <w:sz w:val="18"/>
          <w:szCs w:val="18"/>
        </w:rPr>
        <w:t>完成，以免染色漏出胞外），重复该步骤</w:t>
      </w:r>
      <w:r w:rsidR="00612B76">
        <w:rPr>
          <w:rFonts w:ascii="微软雅黑" w:eastAsia="微软雅黑" w:hAnsi="微软雅黑" w:cs="Times New Roman" w:hint="eastAsia"/>
          <w:sz w:val="18"/>
          <w:szCs w:val="18"/>
        </w:rPr>
        <w:t>5-10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次，直至把多染料洗尽为止；</w:t>
      </w:r>
    </w:p>
    <w:p w:rsidR="00EC608B" w:rsidRPr="00EC608B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6：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加入溶解液，每孔</w:t>
      </w:r>
      <w:r>
        <w:rPr>
          <w:rFonts w:ascii="微软雅黑" w:eastAsia="微软雅黑" w:hAnsi="微软雅黑" w:cs="Times New Roman" w:hint="eastAsia"/>
          <w:sz w:val="18"/>
          <w:szCs w:val="18"/>
        </w:rPr>
        <w:t>100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μL，室温下避光孵育</w:t>
      </w:r>
      <w:r>
        <w:rPr>
          <w:rFonts w:ascii="微软雅黑" w:eastAsia="微软雅黑" w:hAnsi="微软雅黑" w:cs="Times New Roman" w:hint="eastAsia"/>
          <w:sz w:val="18"/>
          <w:szCs w:val="18"/>
        </w:rPr>
        <w:t>5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min；</w:t>
      </w:r>
    </w:p>
    <w:p w:rsidR="00071EFE" w:rsidRDefault="00EC608B" w:rsidP="00EC608B">
      <w:pPr>
        <w:autoSpaceDE w:val="0"/>
        <w:autoSpaceDN w:val="0"/>
        <w:adjustRightInd w:val="0"/>
        <w:spacing w:line="360" w:lineRule="exact"/>
        <w:ind w:left="270" w:hangingChars="150" w:hanging="270"/>
        <w:jc w:val="left"/>
        <w:rPr>
          <w:rFonts w:ascii="微软雅黑" w:eastAsia="微软雅黑" w:hAnsi="微软雅黑" w:cs="Times New Roman" w:hint="eastAsia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7：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于</w:t>
      </w:r>
      <w:r>
        <w:rPr>
          <w:rFonts w:ascii="微软雅黑" w:eastAsia="微软雅黑" w:hAnsi="微软雅黑" w:cs="Times New Roman" w:hint="eastAsia"/>
          <w:sz w:val="18"/>
          <w:szCs w:val="18"/>
        </w:rPr>
        <w:t>515</w:t>
      </w:r>
      <w:r w:rsidR="00612B76">
        <w:rPr>
          <w:rFonts w:ascii="微软雅黑" w:eastAsia="微软雅黑" w:hAnsi="微软雅黑" w:cs="Times New Roman" w:hint="eastAsia"/>
          <w:sz w:val="18"/>
          <w:szCs w:val="18"/>
        </w:rPr>
        <w:t>nm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波长检测其吸光值。</w:t>
      </w:r>
      <w:r>
        <w:rPr>
          <w:rFonts w:ascii="微软雅黑" w:eastAsia="微软雅黑" w:hAnsi="微软雅黑" w:cs="Times New Roman"/>
          <w:sz w:val="18"/>
          <w:szCs w:val="18"/>
        </w:rPr>
        <w:t xml:space="preserve"> </w:t>
      </w:r>
    </w:p>
    <w:p w:rsidR="00EC608B" w:rsidRDefault="00EC608B" w:rsidP="00EC608B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/>
          <w:kern w:val="0"/>
          <w:szCs w:val="21"/>
        </w:rPr>
      </w:pPr>
      <w:r w:rsidRPr="00846B46">
        <w:rPr>
          <w:rFonts w:ascii="微软雅黑" w:eastAsia="微软雅黑" w:hAnsi="微软雅黑" w:cs="HYb2gj" w:hint="eastAsia"/>
          <w:b/>
          <w:color w:val="000000"/>
          <w:kern w:val="0"/>
          <w:szCs w:val="21"/>
        </w:rPr>
        <w:t>注意事项</w:t>
      </w:r>
    </w:p>
    <w:p w:rsidR="00EC608B" w:rsidRPr="00EC608B" w:rsidRDefault="00EC608B" w:rsidP="00EC608B">
      <w:pPr>
        <w:autoSpaceDE w:val="0"/>
        <w:autoSpaceDN w:val="0"/>
        <w:adjustRightInd w:val="0"/>
        <w:jc w:val="left"/>
        <w:rPr>
          <w:rFonts w:ascii="微软雅黑" w:eastAsia="微软雅黑" w:hAnsi="微软雅黑" w:cs="Times New Roman"/>
          <w:sz w:val="18"/>
          <w:szCs w:val="18"/>
        </w:rPr>
      </w:pPr>
      <w:r w:rsidRPr="0061340B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1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为了您的安全和健康，请穿实验服并戴一次性手套操作。</w:t>
      </w:r>
    </w:p>
    <w:p w:rsidR="00EC608B" w:rsidRPr="00EC608B" w:rsidRDefault="00EC608B" w:rsidP="00EC608B">
      <w:pPr>
        <w:autoSpaceDE w:val="0"/>
        <w:autoSpaceDN w:val="0"/>
        <w:adjustRightInd w:val="0"/>
        <w:jc w:val="left"/>
        <w:rPr>
          <w:rFonts w:ascii="微软雅黑" w:eastAsia="微软雅黑" w:hAnsi="微软雅黑" w:cs="Times New Roman"/>
          <w:sz w:val="18"/>
          <w:szCs w:val="18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2：</w:t>
      </w:r>
      <w:r w:rsidRPr="00EC608B">
        <w:rPr>
          <w:rFonts w:ascii="微软雅黑" w:eastAsia="微软雅黑" w:hAnsi="微软雅黑" w:cs="Times New Roman" w:hint="eastAsia"/>
          <w:sz w:val="18"/>
          <w:szCs w:val="18"/>
        </w:rPr>
        <w:t>染色液需混匀后使用，如染色液出现沉淀，需过滤后使用。</w:t>
      </w:r>
    </w:p>
    <w:p w:rsidR="00094B4F" w:rsidRPr="00846B46" w:rsidRDefault="00094B4F" w:rsidP="00EC608B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/>
          <w:kern w:val="0"/>
          <w:szCs w:val="21"/>
        </w:rPr>
      </w:pPr>
      <w:r w:rsidRPr="00846B46">
        <w:rPr>
          <w:rFonts w:ascii="微软雅黑" w:eastAsia="微软雅黑" w:hAnsi="微软雅黑" w:cs="HYb2gj" w:hint="eastAsia"/>
          <w:b/>
          <w:color w:val="000000"/>
          <w:kern w:val="0"/>
          <w:szCs w:val="21"/>
        </w:rPr>
        <w:t>储存条件</w:t>
      </w:r>
    </w:p>
    <w:p w:rsidR="00EC608B" w:rsidRDefault="00094B4F" w:rsidP="00EC608B">
      <w:pPr>
        <w:spacing w:line="360" w:lineRule="exact"/>
        <w:rPr>
          <w:rFonts w:ascii="TimesNewRomanPSMT" w:eastAsia="TimesNewRomanPSMT" w:cs="TimesNewRomanPSMT"/>
          <w:kern w:val="0"/>
          <w:sz w:val="20"/>
          <w:szCs w:val="20"/>
        </w:rPr>
      </w:pPr>
      <w:r>
        <w:rPr>
          <w:rFonts w:ascii="微软雅黑" w:eastAsia="微软雅黑" w:hAnsi="微软雅黑" w:cs="Times New Roman" w:hint="eastAsia"/>
          <w:sz w:val="18"/>
          <w:szCs w:val="18"/>
        </w:rPr>
        <w:t>2-8</w:t>
      </w:r>
      <w:r w:rsidRPr="00846B46">
        <w:rPr>
          <w:rFonts w:ascii="微软雅黑" w:eastAsia="微软雅黑" w:hAnsi="微软雅黑" w:cs="Times New Roman" w:hint="eastAsia"/>
          <w:sz w:val="18"/>
          <w:szCs w:val="18"/>
        </w:rPr>
        <w:t>℃</w:t>
      </w:r>
      <w:r w:rsidR="00EC608B">
        <w:rPr>
          <w:rFonts w:ascii="微软雅黑" w:eastAsia="微软雅黑" w:hAnsi="微软雅黑" w:hint="eastAsia"/>
          <w:sz w:val="18"/>
          <w:szCs w:val="18"/>
        </w:rPr>
        <w:t>，</w:t>
      </w:r>
      <w:r w:rsidR="00EC608B" w:rsidRPr="00EC608B">
        <w:rPr>
          <w:rFonts w:ascii="微软雅黑" w:eastAsia="微软雅黑" w:hAnsi="微软雅黑" w:cs="Times New Roman" w:hint="eastAsia"/>
          <w:sz w:val="18"/>
          <w:szCs w:val="18"/>
        </w:rPr>
        <w:t>一年有效。</w:t>
      </w:r>
    </w:p>
    <w:p w:rsidR="00EC608B" w:rsidRPr="00EC608B" w:rsidRDefault="00EC608B" w:rsidP="00094B4F">
      <w:pPr>
        <w:spacing w:line="360" w:lineRule="exac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12B76" w:rsidRDefault="00612B76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</w:pPr>
    </w:p>
    <w:p w:rsidR="00623478" w:rsidRPr="00CF7793" w:rsidRDefault="00AD1737" w:rsidP="00424A04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CF779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仅供科学研究，不得用于临床治疗</w:t>
      </w:r>
    </w:p>
    <w:sectPr w:rsidR="00623478" w:rsidRPr="00CF779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F9" w:rsidRDefault="002D1CF9" w:rsidP="0065435B">
      <w:r>
        <w:separator/>
      </w:r>
    </w:p>
  </w:endnote>
  <w:endnote w:type="continuationSeparator" w:id="1">
    <w:p w:rsidR="002D1CF9" w:rsidRDefault="002D1CF9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8E1261" w:rsidRPr="009C516F" w:rsidRDefault="00351AFD">
        <w:pPr>
          <w:pStyle w:val="a4"/>
          <w:jc w:val="right"/>
        </w:pPr>
        <w:fldSimple w:instr=" PAGE   \* MERGEFORMAT ">
          <w:r w:rsidR="000A18FE" w:rsidRPr="000A18FE">
            <w:rPr>
              <w:noProof/>
              <w:lang w:val="zh-CN"/>
            </w:rPr>
            <w:t>1</w:t>
          </w:r>
        </w:fldSimple>
      </w:p>
    </w:sdtContent>
  </w:sdt>
  <w:p w:rsidR="008E1261" w:rsidRPr="009C516F" w:rsidRDefault="008E1261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F9" w:rsidRDefault="002D1CF9" w:rsidP="0065435B">
      <w:r>
        <w:separator/>
      </w:r>
    </w:p>
  </w:footnote>
  <w:footnote w:type="continuationSeparator" w:id="1">
    <w:p w:rsidR="002D1CF9" w:rsidRDefault="002D1CF9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B2EFA"/>
    <w:multiLevelType w:val="hybridMultilevel"/>
    <w:tmpl w:val="EC8FE1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9E7F7"/>
    <w:multiLevelType w:val="hybridMultilevel"/>
    <w:tmpl w:val="23187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821269"/>
    <w:multiLevelType w:val="hybridMultilevel"/>
    <w:tmpl w:val="B10CA39C"/>
    <w:lvl w:ilvl="0" w:tplc="CC7C3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104D0B"/>
    <w:multiLevelType w:val="hybridMultilevel"/>
    <w:tmpl w:val="5BA0A148"/>
    <w:lvl w:ilvl="0" w:tplc="E1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45E82"/>
    <w:multiLevelType w:val="hybridMultilevel"/>
    <w:tmpl w:val="7C149F76"/>
    <w:lvl w:ilvl="0" w:tplc="E7DA580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3738D"/>
    <w:rsid w:val="00071EFE"/>
    <w:rsid w:val="00076C42"/>
    <w:rsid w:val="00091A19"/>
    <w:rsid w:val="00094B4F"/>
    <w:rsid w:val="000A18FE"/>
    <w:rsid w:val="000A4EB5"/>
    <w:rsid w:val="000A61A3"/>
    <w:rsid w:val="000B2405"/>
    <w:rsid w:val="000B7599"/>
    <w:rsid w:val="000E4C23"/>
    <w:rsid w:val="00127CAE"/>
    <w:rsid w:val="00134FEA"/>
    <w:rsid w:val="00143960"/>
    <w:rsid w:val="001803F7"/>
    <w:rsid w:val="00192508"/>
    <w:rsid w:val="001958C9"/>
    <w:rsid w:val="001A3463"/>
    <w:rsid w:val="00253AA8"/>
    <w:rsid w:val="002C252D"/>
    <w:rsid w:val="002D1CF9"/>
    <w:rsid w:val="002D5E46"/>
    <w:rsid w:val="002F133F"/>
    <w:rsid w:val="00311F60"/>
    <w:rsid w:val="00351AFD"/>
    <w:rsid w:val="0036349D"/>
    <w:rsid w:val="00371A2F"/>
    <w:rsid w:val="003A58DA"/>
    <w:rsid w:val="003C38F2"/>
    <w:rsid w:val="00424A04"/>
    <w:rsid w:val="00475678"/>
    <w:rsid w:val="0049205D"/>
    <w:rsid w:val="004D158E"/>
    <w:rsid w:val="00552AD6"/>
    <w:rsid w:val="005D4CF8"/>
    <w:rsid w:val="005F1BB9"/>
    <w:rsid w:val="00601366"/>
    <w:rsid w:val="00612B76"/>
    <w:rsid w:val="0061340B"/>
    <w:rsid w:val="00623478"/>
    <w:rsid w:val="0065435B"/>
    <w:rsid w:val="00687BDF"/>
    <w:rsid w:val="00690FB9"/>
    <w:rsid w:val="00695F96"/>
    <w:rsid w:val="006A0154"/>
    <w:rsid w:val="006B3306"/>
    <w:rsid w:val="006E5715"/>
    <w:rsid w:val="006F642B"/>
    <w:rsid w:val="0072331A"/>
    <w:rsid w:val="00754FC0"/>
    <w:rsid w:val="0077383D"/>
    <w:rsid w:val="0078278D"/>
    <w:rsid w:val="007A2388"/>
    <w:rsid w:val="007A48A9"/>
    <w:rsid w:val="0081380C"/>
    <w:rsid w:val="00846B46"/>
    <w:rsid w:val="008906ED"/>
    <w:rsid w:val="008B5A6C"/>
    <w:rsid w:val="008C1049"/>
    <w:rsid w:val="008C7578"/>
    <w:rsid w:val="008E1261"/>
    <w:rsid w:val="00902748"/>
    <w:rsid w:val="00903C57"/>
    <w:rsid w:val="00904D45"/>
    <w:rsid w:val="009C516F"/>
    <w:rsid w:val="009E39D2"/>
    <w:rsid w:val="00A34E28"/>
    <w:rsid w:val="00A42706"/>
    <w:rsid w:val="00A42A9B"/>
    <w:rsid w:val="00A75227"/>
    <w:rsid w:val="00AC4E3C"/>
    <w:rsid w:val="00AD1737"/>
    <w:rsid w:val="00AD560F"/>
    <w:rsid w:val="00B02EFA"/>
    <w:rsid w:val="00B62F65"/>
    <w:rsid w:val="00BB6041"/>
    <w:rsid w:val="00C01E15"/>
    <w:rsid w:val="00C37C0A"/>
    <w:rsid w:val="00C51F22"/>
    <w:rsid w:val="00C6161A"/>
    <w:rsid w:val="00CF7239"/>
    <w:rsid w:val="00CF7793"/>
    <w:rsid w:val="00D77AE7"/>
    <w:rsid w:val="00DA6864"/>
    <w:rsid w:val="00DF1928"/>
    <w:rsid w:val="00DF27D0"/>
    <w:rsid w:val="00E07D07"/>
    <w:rsid w:val="00E73D97"/>
    <w:rsid w:val="00E76797"/>
    <w:rsid w:val="00EC608B"/>
    <w:rsid w:val="00F205CE"/>
    <w:rsid w:val="00F20DCE"/>
    <w:rsid w:val="00F30F92"/>
    <w:rsid w:val="00F944FB"/>
    <w:rsid w:val="00F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B62F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2</cp:revision>
  <cp:lastPrinted>2019-02-23T11:50:00Z</cp:lastPrinted>
  <dcterms:created xsi:type="dcterms:W3CDTF">2019-02-23T11:50:00Z</dcterms:created>
  <dcterms:modified xsi:type="dcterms:W3CDTF">2019-02-23T11:50:00Z</dcterms:modified>
</cp:coreProperties>
</file>