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DA53E0"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02060" strokecolor="black [3213]" strokeweight="1.5pt">
            <v:textbox style="mso-next-textbox:#_x0000_s2050">
              <w:txbxContent>
                <w:p w:rsidR="00404D1E" w:rsidRPr="00C63682" w:rsidRDefault="00DF7AF7" w:rsidP="00404D1E">
                  <w:pPr>
                    <w:autoSpaceDE w:val="0"/>
                    <w:autoSpaceDN w:val="0"/>
                    <w:adjustRightInd w:val="0"/>
                    <w:jc w:val="left"/>
                    <w:rPr>
                      <w:rFonts w:ascii="Arial" w:hAnsi="Arial" w:cs="Arial"/>
                      <w:b/>
                      <w:bCs/>
                      <w:noProof/>
                      <w:color w:val="FFFFFF" w:themeColor="background1"/>
                      <w:sz w:val="28"/>
                      <w:szCs w:val="28"/>
                    </w:rPr>
                  </w:pPr>
                  <w:r w:rsidRPr="00DF7AF7">
                    <w:rPr>
                      <w:rFonts w:ascii="黑体" w:eastAsia="黑体" w:hAnsi="黑体" w:cs="Arial" w:hint="eastAsia"/>
                      <w:b/>
                      <w:bCs/>
                      <w:color w:val="FFFFFF" w:themeColor="background1"/>
                      <w:kern w:val="0"/>
                      <w:sz w:val="28"/>
                      <w:szCs w:val="28"/>
                    </w:rPr>
                    <w:t>人低密度脂蛋白</w:t>
                  </w:r>
                  <w:r>
                    <w:rPr>
                      <w:rFonts w:ascii="Arial" w:hAnsi="Arial" w:cs="Arial" w:hint="eastAsia"/>
                      <w:b/>
                      <w:bCs/>
                      <w:color w:val="FFFFFF" w:themeColor="background1"/>
                      <w:kern w:val="0"/>
                      <w:sz w:val="28"/>
                      <w:szCs w:val="28"/>
                    </w:rPr>
                    <w:t xml:space="preserve"> </w:t>
                  </w:r>
                  <w:r w:rsidRPr="00DF7AF7">
                    <w:rPr>
                      <w:rFonts w:ascii="Arial" w:eastAsia="Meiryo" w:hAnsi="Arial" w:cs="Arial"/>
                      <w:b/>
                      <w:bCs/>
                      <w:color w:val="FFFFFF" w:themeColor="background1"/>
                      <w:kern w:val="0"/>
                      <w:sz w:val="28"/>
                      <w:szCs w:val="28"/>
                    </w:rPr>
                    <w:t>LOW DENSITY LIPOPROTEIN, HUMAN</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DA53E0">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002060"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DF7AF7" w:rsidRPr="00DF7AF7" w:rsidRDefault="00404D1E" w:rsidP="00DF7AF7">
      <w:pPr>
        <w:pStyle w:val="Default"/>
        <w:spacing w:line="300" w:lineRule="exact"/>
        <w:rPr>
          <w:rFonts w:eastAsia="Meiryo" w:hint="eastAsia"/>
          <w:b/>
          <w:bCs/>
          <w:color w:val="000000" w:themeColor="text1"/>
          <w:sz w:val="18"/>
          <w:szCs w:val="18"/>
        </w:rPr>
      </w:pPr>
      <w:r w:rsidRPr="00DF7AF7">
        <w:rPr>
          <w:rFonts w:eastAsia="Meiryo"/>
          <w:b/>
          <w:bCs/>
          <w:color w:val="000000" w:themeColor="text1"/>
          <w:sz w:val="18"/>
          <w:szCs w:val="18"/>
        </w:rPr>
        <w:t>Catalog Number :</w:t>
      </w:r>
      <w:r w:rsidR="002D0290" w:rsidRPr="00DF7AF7">
        <w:rPr>
          <w:rFonts w:eastAsia="Meiryo"/>
          <w:b/>
          <w:bCs/>
          <w:color w:val="000000" w:themeColor="text1"/>
          <w:sz w:val="18"/>
          <w:szCs w:val="18"/>
        </w:rPr>
        <w:t xml:space="preserve"> </w:t>
      </w:r>
      <w:r w:rsidR="005E2D9E" w:rsidRPr="00DF7AF7">
        <w:rPr>
          <w:rFonts w:eastAsia="Meiryo"/>
          <w:bCs/>
          <w:color w:val="000000" w:themeColor="text1"/>
          <w:sz w:val="18"/>
          <w:szCs w:val="18"/>
        </w:rPr>
        <w:t>M</w:t>
      </w:r>
      <w:r w:rsidR="00C63682" w:rsidRPr="00DF7AF7">
        <w:rPr>
          <w:rFonts w:eastAsia="Meiryo"/>
          <w:bCs/>
          <w:color w:val="000000" w:themeColor="text1"/>
          <w:sz w:val="18"/>
          <w:szCs w:val="18"/>
        </w:rPr>
        <w:t>G</w:t>
      </w:r>
      <w:r w:rsidR="00DF7AF7" w:rsidRPr="00DF7AF7">
        <w:rPr>
          <w:rFonts w:hint="eastAsia"/>
          <w:bCs/>
          <w:color w:val="000000" w:themeColor="text1"/>
          <w:sz w:val="18"/>
          <w:szCs w:val="18"/>
        </w:rPr>
        <w:t>19085</w:t>
      </w:r>
      <w:r w:rsidR="002D0290" w:rsidRPr="00DF7AF7">
        <w:rPr>
          <w:rFonts w:eastAsia="Meiryo"/>
          <w:b/>
          <w:bCs/>
          <w:color w:val="000000" w:themeColor="text1"/>
          <w:sz w:val="18"/>
          <w:szCs w:val="18"/>
        </w:rPr>
        <w:t xml:space="preserve">   </w:t>
      </w:r>
      <w:r w:rsidR="00CD6CD3" w:rsidRPr="00DF7AF7">
        <w:rPr>
          <w:rFonts w:eastAsia="Meiryo"/>
          <w:b/>
          <w:bCs/>
          <w:color w:val="000000" w:themeColor="text1"/>
          <w:sz w:val="18"/>
          <w:szCs w:val="18"/>
        </w:rPr>
        <w:t xml:space="preserve">          Packaging Size : </w:t>
      </w:r>
      <w:r w:rsidR="00DF7AF7" w:rsidRPr="00DF7AF7">
        <w:rPr>
          <w:rFonts w:hint="eastAsia"/>
          <w:bCs/>
          <w:color w:val="000000" w:themeColor="text1"/>
          <w:sz w:val="18"/>
          <w:szCs w:val="18"/>
        </w:rPr>
        <w:t>2</w:t>
      </w:r>
      <w:r w:rsidR="005E2D9E" w:rsidRPr="00DF7AF7">
        <w:rPr>
          <w:rFonts w:eastAsia="Meiryo"/>
          <w:bCs/>
          <w:color w:val="000000" w:themeColor="text1"/>
          <w:sz w:val="18"/>
          <w:szCs w:val="18"/>
        </w:rPr>
        <w:t>mg</w:t>
      </w:r>
      <w:r w:rsidR="00DF7AF7" w:rsidRPr="00DF7AF7">
        <w:rPr>
          <w:rFonts w:hint="eastAsia"/>
          <w:b/>
          <w:bCs/>
          <w:color w:val="000000" w:themeColor="text1"/>
          <w:sz w:val="18"/>
          <w:szCs w:val="18"/>
        </w:rPr>
        <w:t xml:space="preserve">         </w:t>
      </w:r>
      <w:r w:rsidR="00DF7AF7" w:rsidRPr="00DF7AF7">
        <w:rPr>
          <w:b/>
          <w:sz w:val="18"/>
          <w:szCs w:val="18"/>
          <w:shd w:val="clear" w:color="auto" w:fill="FFFFFF"/>
        </w:rPr>
        <w:t>Protein/vial Concentration</w:t>
      </w:r>
      <w:r w:rsidR="00DF7AF7" w:rsidRPr="00DF7AF7">
        <w:rPr>
          <w:rFonts w:hint="eastAsia"/>
          <w:b/>
          <w:sz w:val="18"/>
          <w:szCs w:val="18"/>
          <w:shd w:val="clear" w:color="auto" w:fill="FFFFFF"/>
        </w:rPr>
        <w:t xml:space="preserve"> </w:t>
      </w:r>
      <w:r w:rsidR="00DF7AF7" w:rsidRPr="00DF7AF7">
        <w:rPr>
          <w:b/>
          <w:sz w:val="18"/>
          <w:szCs w:val="18"/>
          <w:shd w:val="clear" w:color="auto" w:fill="FFFFFF"/>
        </w:rPr>
        <w:t xml:space="preserve">: </w:t>
      </w:r>
      <w:r w:rsidR="00DF7AF7" w:rsidRPr="00DF7AF7">
        <w:rPr>
          <w:sz w:val="18"/>
          <w:szCs w:val="18"/>
          <w:shd w:val="clear" w:color="auto" w:fill="FFFFFF"/>
        </w:rPr>
        <w:t xml:space="preserve">3 .7 mg /ml (Protein) </w:t>
      </w:r>
    </w:p>
    <w:p w:rsidR="00F921AF" w:rsidRPr="00DF7AF7" w:rsidRDefault="00DF7AF7" w:rsidP="00DF102E">
      <w:pPr>
        <w:pStyle w:val="Default"/>
        <w:spacing w:line="320" w:lineRule="exact"/>
        <w:rPr>
          <w:sz w:val="18"/>
          <w:szCs w:val="18"/>
          <w:shd w:val="clear" w:color="auto" w:fill="FFFFFF"/>
        </w:rPr>
      </w:pPr>
      <w:r w:rsidRPr="00DF7AF7">
        <w:rPr>
          <w:b/>
          <w:sz w:val="18"/>
          <w:szCs w:val="18"/>
          <w:shd w:val="clear" w:color="auto" w:fill="FFFFFF"/>
        </w:rPr>
        <w:t>Packaging</w:t>
      </w:r>
      <w:r w:rsidRPr="00DF7AF7">
        <w:rPr>
          <w:rFonts w:hint="eastAsia"/>
          <w:b/>
          <w:sz w:val="18"/>
          <w:szCs w:val="18"/>
          <w:shd w:val="clear" w:color="auto" w:fill="FFFFFF"/>
        </w:rPr>
        <w:t xml:space="preserve"> </w:t>
      </w:r>
      <w:r w:rsidRPr="00DF7AF7">
        <w:rPr>
          <w:b/>
          <w:sz w:val="18"/>
          <w:szCs w:val="18"/>
          <w:shd w:val="clear" w:color="auto" w:fill="FFFFFF"/>
        </w:rPr>
        <w:t xml:space="preserve">: </w:t>
      </w:r>
      <w:r w:rsidRPr="00DF7AF7">
        <w:rPr>
          <w:sz w:val="18"/>
          <w:szCs w:val="18"/>
          <w:shd w:val="clear" w:color="auto" w:fill="FFFFFF"/>
        </w:rPr>
        <w:t>LDL is membrane filtered and aseptically packaged in a solution containing phosphate-buffered saline at pH 7.4 and &lt; 0.1 uM EDTA-Na2.</w:t>
      </w:r>
    </w:p>
    <w:p w:rsidR="00F921AF" w:rsidRPr="00DF7AF7" w:rsidRDefault="00F921AF" w:rsidP="00DF102E">
      <w:pPr>
        <w:pStyle w:val="Default"/>
        <w:spacing w:line="320" w:lineRule="exact"/>
        <w:rPr>
          <w:color w:val="000000" w:themeColor="text1"/>
          <w:sz w:val="18"/>
          <w:szCs w:val="18"/>
          <w:shd w:val="clear" w:color="auto" w:fill="FFFFFF"/>
        </w:rPr>
      </w:pPr>
    </w:p>
    <w:p w:rsidR="00F921AF" w:rsidRPr="00DF7AF7" w:rsidRDefault="00F921AF" w:rsidP="00600E6A">
      <w:pPr>
        <w:pStyle w:val="Default"/>
        <w:spacing w:line="320" w:lineRule="exact"/>
        <w:jc w:val="both"/>
        <w:rPr>
          <w:b/>
          <w:color w:val="000000" w:themeColor="text1"/>
          <w:sz w:val="18"/>
          <w:szCs w:val="18"/>
          <w:shd w:val="clear" w:color="auto" w:fill="FFFFFF"/>
        </w:rPr>
      </w:pPr>
      <w:r w:rsidRPr="00DF7AF7">
        <w:rPr>
          <w:rFonts w:hint="eastAsia"/>
          <w:b/>
          <w:bCs/>
          <w:color w:val="000000" w:themeColor="text1"/>
          <w:sz w:val="18"/>
          <w:szCs w:val="18"/>
        </w:rPr>
        <w:t>D</w:t>
      </w:r>
      <w:r w:rsidRPr="00DF7AF7">
        <w:rPr>
          <w:b/>
          <w:bCs/>
          <w:color w:val="000000" w:themeColor="text1"/>
          <w:sz w:val="18"/>
          <w:szCs w:val="18"/>
        </w:rPr>
        <w:t>escription</w:t>
      </w:r>
    </w:p>
    <w:p w:rsidR="00F921AF" w:rsidRPr="00DF7AF7" w:rsidRDefault="00DF7AF7" w:rsidP="00600E6A">
      <w:pPr>
        <w:pStyle w:val="Default"/>
        <w:spacing w:line="320" w:lineRule="exact"/>
        <w:jc w:val="both"/>
        <w:rPr>
          <w:color w:val="000000" w:themeColor="text1"/>
          <w:sz w:val="18"/>
          <w:szCs w:val="18"/>
          <w:shd w:val="clear" w:color="auto" w:fill="FFFFFF"/>
        </w:rPr>
      </w:pPr>
      <w:r w:rsidRPr="00DF7AF7">
        <w:rPr>
          <w:sz w:val="18"/>
          <w:szCs w:val="18"/>
          <w:shd w:val="clear" w:color="auto" w:fill="FFFFFF"/>
        </w:rPr>
        <w:t>Human Low Density Lipoprotein, LDL,</w:t>
      </w:r>
      <w:r w:rsidRPr="00DF7AF7">
        <w:rPr>
          <w:rFonts w:hint="eastAsia"/>
          <w:sz w:val="18"/>
          <w:szCs w:val="18"/>
          <w:shd w:val="clear" w:color="auto" w:fill="FFFFFF"/>
        </w:rPr>
        <w:t xml:space="preserve"> </w:t>
      </w:r>
      <w:r w:rsidRPr="00DF7AF7">
        <w:rPr>
          <w:sz w:val="18"/>
          <w:szCs w:val="18"/>
          <w:shd w:val="clear" w:color="auto" w:fill="FFFFFF"/>
        </w:rPr>
        <w:t>is isolated from blood bank produced human plasma. It is purified via ultracentrifugation to homogeneity determined by agarose gel electrophoresis. Each lot is analyzed on agarose gel electrophoresis for migration versus LDL. LDL is a large protein (MW 3,500 kDa) with a diameter of 25.8 nm.It is composed of approximately 20-25% protein and 75-80% lipid. The lipid portion can be further described as 9% free cholesterol, 42% cholesteryl ester, 20-24% phospholipid, and 5% triglyceride.</w:t>
      </w:r>
    </w:p>
    <w:p w:rsidR="00DF7AF7" w:rsidRPr="00DF7AF7" w:rsidRDefault="00DF7AF7" w:rsidP="00DF7AF7">
      <w:pPr>
        <w:pStyle w:val="Default"/>
        <w:spacing w:line="320" w:lineRule="exact"/>
        <w:jc w:val="both"/>
        <w:rPr>
          <w:rFonts w:hint="eastAsia"/>
          <w:sz w:val="18"/>
          <w:szCs w:val="18"/>
          <w:shd w:val="clear" w:color="auto" w:fill="FFFFFF"/>
        </w:rPr>
      </w:pPr>
      <w:r w:rsidRPr="00DF7AF7">
        <w:rPr>
          <w:b/>
          <w:sz w:val="18"/>
          <w:szCs w:val="18"/>
          <w:shd w:val="clear" w:color="auto" w:fill="FFFFFF"/>
        </w:rPr>
        <w:t>Purity</w:t>
      </w:r>
      <w:r w:rsidRPr="00DF7AF7">
        <w:rPr>
          <w:rFonts w:hint="eastAsia"/>
          <w:b/>
          <w:sz w:val="18"/>
          <w:szCs w:val="18"/>
          <w:shd w:val="clear" w:color="auto" w:fill="FFFFFF"/>
        </w:rPr>
        <w:t xml:space="preserve"> </w:t>
      </w:r>
      <w:r w:rsidRPr="00DF7AF7">
        <w:rPr>
          <w:b/>
          <w:sz w:val="18"/>
          <w:szCs w:val="18"/>
          <w:shd w:val="clear" w:color="auto" w:fill="FFFFFF"/>
        </w:rPr>
        <w:t xml:space="preserve">: </w:t>
      </w:r>
      <w:r w:rsidRPr="00DF7AF7">
        <w:rPr>
          <w:sz w:val="18"/>
          <w:szCs w:val="18"/>
          <w:shd w:val="clear" w:color="auto" w:fill="FFFFFF"/>
        </w:rPr>
        <w:t xml:space="preserve">98%, is determined agarose gel electrophoresis </w:t>
      </w:r>
    </w:p>
    <w:p w:rsidR="00DF7AF7" w:rsidRPr="00DF7AF7" w:rsidRDefault="00DF7AF7" w:rsidP="00DF7AF7">
      <w:pPr>
        <w:pStyle w:val="Default"/>
        <w:spacing w:line="320" w:lineRule="exact"/>
        <w:jc w:val="both"/>
        <w:rPr>
          <w:sz w:val="18"/>
          <w:szCs w:val="18"/>
          <w:shd w:val="clear" w:color="auto" w:fill="FFFFFF"/>
        </w:rPr>
      </w:pPr>
      <w:r w:rsidRPr="00DF7AF7">
        <w:rPr>
          <w:b/>
          <w:sz w:val="18"/>
          <w:szCs w:val="18"/>
          <w:shd w:val="clear" w:color="auto" w:fill="FFFFFF"/>
        </w:rPr>
        <w:t>Specifications</w:t>
      </w:r>
      <w:r w:rsidRPr="00DF7AF7">
        <w:rPr>
          <w:rFonts w:hint="eastAsia"/>
          <w:b/>
          <w:sz w:val="18"/>
          <w:szCs w:val="18"/>
          <w:shd w:val="clear" w:color="auto" w:fill="FFFFFF"/>
        </w:rPr>
        <w:t xml:space="preserve"> </w:t>
      </w:r>
      <w:r w:rsidRPr="00DF7AF7">
        <w:rPr>
          <w:b/>
          <w:sz w:val="18"/>
          <w:szCs w:val="18"/>
          <w:shd w:val="clear" w:color="auto" w:fill="FFFFFF"/>
        </w:rPr>
        <w:t>:</w:t>
      </w:r>
      <w:r w:rsidRPr="00DF7AF7">
        <w:rPr>
          <w:sz w:val="18"/>
          <w:szCs w:val="18"/>
          <w:shd w:val="clear" w:color="auto" w:fill="FFFFFF"/>
        </w:rPr>
        <w:t xml:space="preserve"> 0.22 micron filtered; Aseptically Filled; Cell Culture Tested. Storage &amp; Stability: This product is stable for 8 weeks after receipt when handled aseptically and stored at 2-8°C. </w:t>
      </w:r>
    </w:p>
    <w:p w:rsidR="00F921AF" w:rsidRPr="00DF7AF7" w:rsidRDefault="00F921AF" w:rsidP="00DF102E">
      <w:pPr>
        <w:pStyle w:val="Default"/>
        <w:spacing w:line="320" w:lineRule="exact"/>
        <w:rPr>
          <w:color w:val="000000" w:themeColor="text1"/>
          <w:sz w:val="18"/>
          <w:szCs w:val="18"/>
          <w:shd w:val="clear" w:color="auto" w:fill="FFFFFF"/>
        </w:rPr>
      </w:pPr>
    </w:p>
    <w:p w:rsidR="00DF102E" w:rsidRPr="00DF7AF7" w:rsidRDefault="00DF102E" w:rsidP="00DF102E">
      <w:pPr>
        <w:autoSpaceDE w:val="0"/>
        <w:autoSpaceDN w:val="0"/>
        <w:adjustRightInd w:val="0"/>
        <w:spacing w:line="320" w:lineRule="exact"/>
        <w:rPr>
          <w:rFonts w:ascii="Arial" w:eastAsia="Meiryo" w:hAnsi="Arial" w:cs="Arial"/>
          <w:b/>
          <w:bCs/>
          <w:color w:val="000000" w:themeColor="text1"/>
          <w:sz w:val="18"/>
          <w:szCs w:val="18"/>
          <w:shd w:val="clear" w:color="auto" w:fill="FCFDFD"/>
        </w:rPr>
      </w:pPr>
      <w:r w:rsidRPr="00DF7AF7">
        <w:rPr>
          <w:rFonts w:ascii="Arial" w:eastAsia="Meiryo" w:hAnsi="Arial" w:cs="Arial"/>
          <w:b/>
          <w:bCs/>
          <w:color w:val="000000" w:themeColor="text1"/>
          <w:sz w:val="18"/>
          <w:szCs w:val="18"/>
          <w:shd w:val="clear" w:color="auto" w:fill="FCFDFD"/>
        </w:rPr>
        <w:t>Storage</w:t>
      </w:r>
    </w:p>
    <w:p w:rsidR="00DF7AF7" w:rsidRPr="00DF7AF7" w:rsidRDefault="00DF102E" w:rsidP="00DF7AF7">
      <w:pPr>
        <w:pStyle w:val="Default"/>
        <w:spacing w:line="320" w:lineRule="exact"/>
        <w:rPr>
          <w:rFonts w:hint="eastAsia"/>
          <w:sz w:val="18"/>
          <w:szCs w:val="18"/>
          <w:shd w:val="clear" w:color="auto" w:fill="FFFFFF"/>
        </w:rPr>
      </w:pPr>
      <w:r w:rsidRPr="00DF7AF7">
        <w:rPr>
          <w:sz w:val="18"/>
          <w:szCs w:val="18"/>
          <w:shd w:val="clear" w:color="auto" w:fill="FFFFFF"/>
        </w:rPr>
        <w:t xml:space="preserve">Store at </w:t>
      </w:r>
      <w:r w:rsidR="00DF7AF7" w:rsidRPr="00DF7AF7">
        <w:rPr>
          <w:rFonts w:hint="eastAsia"/>
          <w:sz w:val="18"/>
          <w:szCs w:val="18"/>
          <w:shd w:val="clear" w:color="auto" w:fill="FFFFFF"/>
        </w:rPr>
        <w:t>2-8</w:t>
      </w:r>
      <w:r w:rsidR="00600E6A" w:rsidRPr="00DF7AF7">
        <w:rPr>
          <w:b/>
          <w:bCs/>
          <w:sz w:val="18"/>
          <w:szCs w:val="18"/>
          <w:shd w:val="clear" w:color="auto" w:fill="FFFFFF"/>
        </w:rPr>
        <w:t>°C</w:t>
      </w:r>
      <w:r w:rsidR="00600E6A" w:rsidRPr="00DF7AF7">
        <w:rPr>
          <w:rFonts w:hint="eastAsia"/>
          <w:b/>
          <w:bCs/>
          <w:sz w:val="18"/>
          <w:szCs w:val="18"/>
          <w:shd w:val="clear" w:color="auto" w:fill="FFFFFF"/>
        </w:rPr>
        <w:t xml:space="preserve"> </w:t>
      </w:r>
      <w:r w:rsidR="00600E6A" w:rsidRPr="00DF7AF7">
        <w:rPr>
          <w:rFonts w:hint="eastAsia"/>
          <w:sz w:val="18"/>
          <w:szCs w:val="18"/>
          <w:shd w:val="clear" w:color="auto" w:fill="FFFFFF"/>
        </w:rPr>
        <w:t xml:space="preserve">&amp; </w:t>
      </w:r>
      <w:r w:rsidR="00600E6A" w:rsidRPr="00DF7AF7">
        <w:rPr>
          <w:sz w:val="18"/>
          <w:szCs w:val="18"/>
          <w:shd w:val="clear" w:color="auto" w:fill="FFFFFF"/>
        </w:rPr>
        <w:t>Store in the dark</w:t>
      </w:r>
      <w:r w:rsidR="00DF7AF7" w:rsidRPr="00DF7AF7">
        <w:rPr>
          <w:rFonts w:hint="eastAsia"/>
          <w:sz w:val="18"/>
          <w:szCs w:val="18"/>
          <w:shd w:val="clear" w:color="auto" w:fill="FFFFFF"/>
        </w:rPr>
        <w:t>.</w:t>
      </w:r>
      <w:r w:rsidR="00DF7AF7" w:rsidRPr="00DF7AF7">
        <w:rPr>
          <w:sz w:val="18"/>
          <w:szCs w:val="18"/>
          <w:shd w:val="clear" w:color="auto" w:fill="FFFFFF"/>
        </w:rPr>
        <w:t xml:space="preserve">NEVER FREEZE. </w:t>
      </w:r>
    </w:p>
    <w:p w:rsidR="00DF7AF7" w:rsidRDefault="00DF7AF7" w:rsidP="00DF7AF7">
      <w:pPr>
        <w:pStyle w:val="Default"/>
        <w:spacing w:line="320" w:lineRule="exact"/>
        <w:rPr>
          <w:rFonts w:hint="eastAsia"/>
          <w:sz w:val="18"/>
          <w:szCs w:val="18"/>
          <w:shd w:val="clear" w:color="auto" w:fill="FFFFFF"/>
        </w:rPr>
      </w:pPr>
    </w:p>
    <w:p w:rsidR="00DF7AF7" w:rsidRPr="00DF7AF7" w:rsidRDefault="00DF7AF7" w:rsidP="00DF7AF7">
      <w:pPr>
        <w:pStyle w:val="Default"/>
        <w:spacing w:line="320" w:lineRule="exact"/>
        <w:rPr>
          <w:rFonts w:hint="eastAsia"/>
          <w:sz w:val="18"/>
          <w:szCs w:val="18"/>
          <w:shd w:val="clear" w:color="auto" w:fill="FFFFFF"/>
        </w:rPr>
      </w:pPr>
      <w:r w:rsidRPr="00DF7AF7">
        <w:rPr>
          <w:sz w:val="18"/>
          <w:szCs w:val="18"/>
          <w:shd w:val="clear" w:color="auto" w:fill="FFFFFF"/>
        </w:rPr>
        <w:t>*Special Note: After prolonged storage, some precipitate may be observed. This is normal for this product. Clarify out the aggregates by spinning in a microfuge for 2 minutes.</w:t>
      </w:r>
    </w:p>
    <w:p w:rsidR="00DF7AF7" w:rsidRPr="00DF7AF7" w:rsidRDefault="00DF7AF7" w:rsidP="00DF7AF7">
      <w:pPr>
        <w:pStyle w:val="Default"/>
        <w:spacing w:line="320" w:lineRule="exact"/>
        <w:jc w:val="both"/>
        <w:rPr>
          <w:sz w:val="18"/>
          <w:szCs w:val="18"/>
          <w:shd w:val="clear" w:color="auto" w:fill="FFFFFF"/>
        </w:rPr>
      </w:pPr>
      <w:r w:rsidRPr="00DF7AF7">
        <w:rPr>
          <w:sz w:val="18"/>
          <w:szCs w:val="18"/>
          <w:shd w:val="clear" w:color="auto" w:fill="FFFFFF"/>
        </w:rPr>
        <w:t>Biological Sample lots of LDL are evaluated for receptor binding to Activity: peritoneal macrophages in conjunction with our DiI-Ox-LDL and [I-125] Ox-LDL</w:t>
      </w:r>
    </w:p>
    <w:p w:rsidR="00DF7AF7" w:rsidRDefault="00DF7AF7" w:rsidP="00404D1E">
      <w:pPr>
        <w:pStyle w:val="Default"/>
        <w:spacing w:line="320" w:lineRule="exact"/>
        <w:rPr>
          <w:rFonts w:hint="eastAsia"/>
        </w:rPr>
      </w:pPr>
    </w:p>
    <w:p w:rsidR="00DF7AF7" w:rsidRPr="00DF7AF7" w:rsidRDefault="00DF7AF7" w:rsidP="00DF7AF7">
      <w:pPr>
        <w:pStyle w:val="Default"/>
        <w:spacing w:line="360" w:lineRule="exact"/>
        <w:rPr>
          <w:rFonts w:eastAsia="黑体"/>
          <w:b/>
          <w:sz w:val="21"/>
          <w:szCs w:val="21"/>
        </w:rPr>
      </w:pPr>
      <w:r w:rsidRPr="00DF7AF7">
        <w:rPr>
          <w:rFonts w:eastAsia="黑体" w:hAnsi="黑体"/>
          <w:b/>
          <w:sz w:val="21"/>
          <w:szCs w:val="21"/>
        </w:rPr>
        <w:t>中文说明</w:t>
      </w:r>
      <w:r>
        <w:rPr>
          <w:rFonts w:eastAsia="黑体" w:hAnsi="黑体" w:hint="eastAsia"/>
          <w:b/>
          <w:sz w:val="21"/>
          <w:szCs w:val="21"/>
        </w:rPr>
        <w:t>：</w:t>
      </w:r>
    </w:p>
    <w:p w:rsidR="00DF7AF7" w:rsidRDefault="00DF7AF7" w:rsidP="00DF7AF7">
      <w:pPr>
        <w:pStyle w:val="Default"/>
        <w:spacing w:line="360" w:lineRule="exact"/>
        <w:rPr>
          <w:rFonts w:eastAsia="黑体" w:hint="eastAsia"/>
          <w:sz w:val="21"/>
          <w:szCs w:val="21"/>
        </w:rPr>
      </w:pPr>
      <w:r w:rsidRPr="00DF7AF7">
        <w:rPr>
          <w:rFonts w:eastAsia="黑体" w:hAnsi="黑体"/>
          <w:sz w:val="21"/>
          <w:szCs w:val="21"/>
        </w:rPr>
        <w:t>低密度脂蛋白是一种具有</w:t>
      </w:r>
      <w:r w:rsidRPr="00DF7AF7">
        <w:rPr>
          <w:rFonts w:eastAsia="黑体"/>
          <w:sz w:val="21"/>
          <w:szCs w:val="21"/>
        </w:rPr>
        <w:t>25.8 nm</w:t>
      </w:r>
      <w:r w:rsidRPr="00DF7AF7">
        <w:rPr>
          <w:rFonts w:eastAsia="黑体" w:hAnsi="黑体"/>
          <w:sz w:val="21"/>
          <w:szCs w:val="21"/>
        </w:rPr>
        <w:t>直径的大分子量蛋白</w:t>
      </w:r>
      <w:r w:rsidRPr="00DF7AF7">
        <w:rPr>
          <w:rFonts w:eastAsia="黑体"/>
          <w:sz w:val="21"/>
          <w:szCs w:val="21"/>
        </w:rPr>
        <w:t>(MW 3,500 kDa)</w:t>
      </w:r>
      <w:r w:rsidRPr="00DF7AF7">
        <w:rPr>
          <w:rFonts w:eastAsia="黑体" w:hAnsi="黑体"/>
          <w:sz w:val="21"/>
          <w:szCs w:val="21"/>
        </w:rPr>
        <w:t>。它由大约</w:t>
      </w:r>
      <w:r w:rsidRPr="00DF7AF7">
        <w:rPr>
          <w:rFonts w:eastAsia="黑体"/>
          <w:sz w:val="21"/>
          <w:szCs w:val="21"/>
        </w:rPr>
        <w:t>20-25%</w:t>
      </w:r>
      <w:r w:rsidRPr="00DF7AF7">
        <w:rPr>
          <w:rFonts w:eastAsia="黑体" w:hAnsi="黑体"/>
          <w:sz w:val="21"/>
          <w:szCs w:val="21"/>
        </w:rPr>
        <w:t>的蛋白质和</w:t>
      </w:r>
      <w:r w:rsidRPr="00DF7AF7">
        <w:rPr>
          <w:rFonts w:eastAsia="黑体"/>
          <w:sz w:val="21"/>
          <w:szCs w:val="21"/>
        </w:rPr>
        <w:t>75-80%</w:t>
      </w:r>
      <w:r w:rsidRPr="00DF7AF7">
        <w:rPr>
          <w:rFonts w:eastAsia="黑体" w:hAnsi="黑体"/>
          <w:sz w:val="21"/>
          <w:szCs w:val="21"/>
        </w:rPr>
        <w:t>的脂类组成。这种脂蛋白可更细分为</w:t>
      </w:r>
      <w:r w:rsidRPr="00DF7AF7">
        <w:rPr>
          <w:rFonts w:eastAsia="黑体"/>
          <w:sz w:val="21"/>
          <w:szCs w:val="21"/>
        </w:rPr>
        <w:t>9%</w:t>
      </w:r>
      <w:r w:rsidRPr="00DF7AF7">
        <w:rPr>
          <w:rFonts w:eastAsia="黑体" w:hAnsi="黑体"/>
          <w:sz w:val="21"/>
          <w:szCs w:val="21"/>
        </w:rPr>
        <w:t>游离胆固醇，</w:t>
      </w:r>
      <w:r w:rsidRPr="00DF7AF7">
        <w:rPr>
          <w:rFonts w:eastAsia="黑体"/>
          <w:sz w:val="21"/>
          <w:szCs w:val="21"/>
        </w:rPr>
        <w:t>42%</w:t>
      </w:r>
      <w:r w:rsidRPr="00DF7AF7">
        <w:rPr>
          <w:rFonts w:eastAsia="黑体" w:hAnsi="黑体"/>
          <w:sz w:val="21"/>
          <w:szCs w:val="21"/>
        </w:rPr>
        <w:t>胆固醇酯，</w:t>
      </w:r>
      <w:r w:rsidRPr="00DF7AF7">
        <w:rPr>
          <w:rFonts w:eastAsia="黑体"/>
          <w:sz w:val="21"/>
          <w:szCs w:val="21"/>
        </w:rPr>
        <w:t>20-24%</w:t>
      </w:r>
      <w:r w:rsidRPr="00DF7AF7">
        <w:rPr>
          <w:rFonts w:eastAsia="黑体" w:hAnsi="黑体"/>
          <w:sz w:val="21"/>
          <w:szCs w:val="21"/>
        </w:rPr>
        <w:t>磷脂和</w:t>
      </w:r>
      <w:r w:rsidRPr="00DF7AF7">
        <w:rPr>
          <w:rFonts w:eastAsia="黑体"/>
          <w:sz w:val="21"/>
          <w:szCs w:val="21"/>
        </w:rPr>
        <w:t>5%</w:t>
      </w:r>
      <w:r w:rsidRPr="00DF7AF7">
        <w:rPr>
          <w:rFonts w:eastAsia="黑体" w:hAnsi="黑体"/>
          <w:sz w:val="21"/>
          <w:szCs w:val="21"/>
        </w:rPr>
        <w:t>的三磷酸甘油</w:t>
      </w:r>
      <w:r>
        <w:rPr>
          <w:rFonts w:eastAsia="黑体" w:hint="eastAsia"/>
          <w:sz w:val="21"/>
          <w:szCs w:val="21"/>
        </w:rPr>
        <w:t>。</w:t>
      </w:r>
    </w:p>
    <w:p w:rsidR="00DF7AF7" w:rsidRDefault="00DF7AF7" w:rsidP="00DF7AF7">
      <w:pPr>
        <w:pStyle w:val="Default"/>
        <w:spacing w:line="360" w:lineRule="exact"/>
        <w:rPr>
          <w:rFonts w:eastAsia="黑体" w:hint="eastAsia"/>
          <w:sz w:val="21"/>
          <w:szCs w:val="21"/>
        </w:rPr>
      </w:pPr>
      <w:r w:rsidRPr="00DF7AF7">
        <w:rPr>
          <w:rFonts w:eastAsia="黑体" w:hAnsi="黑体"/>
          <w:b/>
          <w:sz w:val="21"/>
          <w:szCs w:val="21"/>
        </w:rPr>
        <w:t>技术指标：</w:t>
      </w:r>
    </w:p>
    <w:p w:rsidR="00DF7AF7" w:rsidRDefault="00DF7AF7" w:rsidP="00DF7AF7">
      <w:pPr>
        <w:pStyle w:val="Default"/>
        <w:spacing w:line="360" w:lineRule="exact"/>
        <w:rPr>
          <w:rFonts w:eastAsia="黑体" w:hint="eastAsia"/>
          <w:sz w:val="21"/>
          <w:szCs w:val="21"/>
        </w:rPr>
      </w:pPr>
      <w:r w:rsidRPr="00DF7AF7">
        <w:rPr>
          <w:rFonts w:eastAsia="黑体"/>
          <w:sz w:val="21"/>
          <w:szCs w:val="21"/>
        </w:rPr>
        <w:t>MF(</w:t>
      </w:r>
      <w:r w:rsidRPr="00DF7AF7">
        <w:rPr>
          <w:rFonts w:eastAsia="黑体" w:hAnsi="黑体"/>
          <w:sz w:val="21"/>
          <w:szCs w:val="21"/>
        </w:rPr>
        <w:t>微膜过滤</w:t>
      </w:r>
      <w:r w:rsidRPr="00DF7AF7">
        <w:rPr>
          <w:rFonts w:eastAsia="黑体"/>
          <w:sz w:val="21"/>
          <w:szCs w:val="21"/>
        </w:rPr>
        <w:t>) 0.22 micron filtered</w:t>
      </w:r>
      <w:r>
        <w:rPr>
          <w:rFonts w:eastAsia="黑体" w:hint="eastAsia"/>
          <w:sz w:val="21"/>
          <w:szCs w:val="21"/>
        </w:rPr>
        <w:t>；</w:t>
      </w:r>
    </w:p>
    <w:p w:rsidR="00DF7AF7" w:rsidRDefault="00DF7AF7" w:rsidP="00DF7AF7">
      <w:pPr>
        <w:pStyle w:val="Default"/>
        <w:spacing w:line="360" w:lineRule="exact"/>
        <w:rPr>
          <w:rFonts w:eastAsia="黑体" w:hint="eastAsia"/>
          <w:sz w:val="21"/>
          <w:szCs w:val="21"/>
        </w:rPr>
      </w:pPr>
      <w:r w:rsidRPr="00DF7AF7">
        <w:rPr>
          <w:rFonts w:eastAsia="黑体"/>
          <w:sz w:val="21"/>
          <w:szCs w:val="21"/>
        </w:rPr>
        <w:t>AF(</w:t>
      </w:r>
      <w:r w:rsidRPr="00DF7AF7">
        <w:rPr>
          <w:rFonts w:eastAsia="黑体" w:hAnsi="黑体"/>
          <w:sz w:val="21"/>
          <w:szCs w:val="21"/>
        </w:rPr>
        <w:t>无菌灌装</w:t>
      </w:r>
      <w:r w:rsidRPr="00DF7AF7">
        <w:rPr>
          <w:rFonts w:eastAsia="黑体"/>
          <w:sz w:val="21"/>
          <w:szCs w:val="21"/>
        </w:rPr>
        <w:t>) Aseptically Filled</w:t>
      </w:r>
      <w:r>
        <w:rPr>
          <w:rFonts w:eastAsia="黑体" w:hint="eastAsia"/>
          <w:sz w:val="21"/>
          <w:szCs w:val="21"/>
        </w:rPr>
        <w:t>；</w:t>
      </w:r>
    </w:p>
    <w:p w:rsidR="005F08A2" w:rsidRPr="00DF7AF7" w:rsidRDefault="00DF7AF7" w:rsidP="00DF7AF7">
      <w:pPr>
        <w:pStyle w:val="Default"/>
        <w:spacing w:line="360" w:lineRule="exact"/>
        <w:rPr>
          <w:rFonts w:eastAsia="黑体"/>
          <w:sz w:val="21"/>
          <w:szCs w:val="21"/>
        </w:rPr>
      </w:pPr>
      <w:r w:rsidRPr="00DF7AF7">
        <w:rPr>
          <w:rFonts w:eastAsia="黑体"/>
          <w:sz w:val="21"/>
          <w:szCs w:val="21"/>
        </w:rPr>
        <w:t>C Cell Culture Tested</w:t>
      </w:r>
      <w:r w:rsidRPr="00DF7AF7">
        <w:rPr>
          <w:rFonts w:eastAsia="黑体" w:hAnsi="黑体"/>
          <w:sz w:val="21"/>
          <w:szCs w:val="21"/>
        </w:rPr>
        <w:t>，适用于细胞培养</w:t>
      </w:r>
      <w:r>
        <w:rPr>
          <w:rFonts w:eastAsia="黑体" w:hint="eastAsia"/>
          <w:sz w:val="21"/>
          <w:szCs w:val="21"/>
        </w:rPr>
        <w:t>，</w:t>
      </w:r>
      <w:r w:rsidRPr="00DF7AF7">
        <w:rPr>
          <w:rFonts w:eastAsia="黑体"/>
          <w:sz w:val="21"/>
          <w:szCs w:val="21"/>
        </w:rPr>
        <w:t>98%</w:t>
      </w:r>
      <w:r>
        <w:rPr>
          <w:rFonts w:eastAsia="黑体" w:hint="eastAsia"/>
          <w:sz w:val="21"/>
          <w:szCs w:val="21"/>
        </w:rPr>
        <w:t>，</w:t>
      </w:r>
      <w:r w:rsidRPr="00DF7AF7">
        <w:rPr>
          <w:rFonts w:eastAsia="黑体" w:hAnsi="黑体"/>
          <w:sz w:val="21"/>
          <w:szCs w:val="21"/>
        </w:rPr>
        <w:t>浓度</w:t>
      </w:r>
      <w:r w:rsidRPr="00DF7AF7">
        <w:rPr>
          <w:rFonts w:eastAsia="黑体"/>
          <w:sz w:val="21"/>
          <w:szCs w:val="21"/>
        </w:rPr>
        <w:t>2</w:t>
      </w:r>
      <w:r>
        <w:rPr>
          <w:rFonts w:eastAsia="黑体" w:hint="eastAsia"/>
          <w:sz w:val="21"/>
          <w:szCs w:val="21"/>
        </w:rPr>
        <w:t>mg</w:t>
      </w:r>
      <w:r w:rsidRPr="00DF7AF7">
        <w:rPr>
          <w:rFonts w:eastAsia="黑体"/>
          <w:sz w:val="21"/>
          <w:szCs w:val="21"/>
        </w:rPr>
        <w:t>/</w:t>
      </w:r>
      <w:r>
        <w:rPr>
          <w:rFonts w:eastAsia="黑体" w:hint="eastAsia"/>
          <w:sz w:val="21"/>
          <w:szCs w:val="21"/>
        </w:rPr>
        <w:t>mL</w:t>
      </w:r>
    </w:p>
    <w:p w:rsidR="00036E40" w:rsidRPr="00600E6A" w:rsidRDefault="00036E40" w:rsidP="0041783B">
      <w:pPr>
        <w:pStyle w:val="Default"/>
        <w:spacing w:line="320" w:lineRule="exact"/>
        <w:jc w:val="center"/>
        <w:rPr>
          <w:b/>
          <w:i/>
          <w:sz w:val="21"/>
          <w:szCs w:val="21"/>
          <w:shd w:val="clear" w:color="auto" w:fill="FFFFFF"/>
        </w:rPr>
      </w:pPr>
    </w:p>
    <w:p w:rsidR="00036E40" w:rsidRPr="00600E6A" w:rsidRDefault="00036E40" w:rsidP="0041783B">
      <w:pPr>
        <w:pStyle w:val="Default"/>
        <w:spacing w:line="320" w:lineRule="exact"/>
        <w:jc w:val="center"/>
        <w:rPr>
          <w:b/>
          <w:i/>
          <w:sz w:val="21"/>
          <w:szCs w:val="21"/>
          <w:shd w:val="clear" w:color="auto" w:fill="FFFFFF"/>
        </w:rPr>
      </w:pPr>
    </w:p>
    <w:p w:rsidR="00036E40" w:rsidRDefault="00036E40" w:rsidP="0041783B">
      <w:pPr>
        <w:pStyle w:val="Default"/>
        <w:spacing w:line="320" w:lineRule="exact"/>
        <w:jc w:val="center"/>
        <w:rPr>
          <w:b/>
          <w:i/>
          <w:sz w:val="21"/>
          <w:szCs w:val="21"/>
          <w:shd w:val="clear" w:color="auto" w:fill="FFFFFF"/>
        </w:rPr>
      </w:pPr>
    </w:p>
    <w:p w:rsidR="00036E40" w:rsidRDefault="00036E40" w:rsidP="0041783B">
      <w:pPr>
        <w:pStyle w:val="Default"/>
        <w:spacing w:line="320" w:lineRule="exact"/>
        <w:jc w:val="center"/>
        <w:rPr>
          <w:b/>
          <w:i/>
          <w:sz w:val="21"/>
          <w:szCs w:val="21"/>
          <w:shd w:val="clear" w:color="auto" w:fill="FFFFFF"/>
        </w:rPr>
      </w:pPr>
    </w:p>
    <w:p w:rsidR="0041783B" w:rsidRPr="0041783B" w:rsidRDefault="0041783B" w:rsidP="0041783B">
      <w:pPr>
        <w:pStyle w:val="Default"/>
        <w:spacing w:line="320" w:lineRule="exact"/>
        <w:jc w:val="center"/>
        <w:rPr>
          <w:b/>
          <w:bCs/>
          <w:i/>
          <w:sz w:val="21"/>
          <w:szCs w:val="21"/>
        </w:rPr>
      </w:pPr>
      <w:r w:rsidRPr="0041783B">
        <w:rPr>
          <w:b/>
          <w:i/>
          <w:sz w:val="21"/>
          <w:szCs w:val="21"/>
          <w:shd w:val="clear" w:color="auto" w:fill="FFFFFF"/>
        </w:rPr>
        <w:t>For Research Use Only. Not For Use In Diagnostic Procedures.</w:t>
      </w:r>
    </w:p>
    <w:sectPr w:rsidR="0041783B" w:rsidRPr="0041783B" w:rsidSect="00036E40">
      <w:footerReference w:type="default" r:id="rId9"/>
      <w:pgSz w:w="11906" w:h="16838"/>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2F" w:rsidRDefault="00AF392F" w:rsidP="0065435B">
      <w:r>
        <w:separator/>
      </w:r>
    </w:p>
  </w:endnote>
  <w:endnote w:type="continuationSeparator" w:id="1">
    <w:p w:rsidR="00AF392F" w:rsidRDefault="00AF392F" w:rsidP="0065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036E40" w:rsidRPr="00036E40" w:rsidRDefault="009C516F" w:rsidP="009C516F">
    <w:pPr>
      <w:pStyle w:val="a4"/>
      <w:rPr>
        <w:rFonts w:ascii="Arial" w:hAnsi="Arial" w:cs="Arial"/>
        <w:b/>
      </w:rPr>
    </w:pPr>
    <w:r w:rsidRPr="00036E40">
      <w:rPr>
        <w:rFonts w:ascii="Arial" w:hAnsi="Arial" w:cs="Arial"/>
        <w:b/>
      </w:rPr>
      <w:t xml:space="preserve">MesGen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rsidR="00F944FB" w:rsidRPr="009C516F" w:rsidRDefault="00036E40" w:rsidP="00036E40">
    <w:pPr>
      <w:pStyle w:val="a4"/>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2F" w:rsidRDefault="00AF392F" w:rsidP="0065435B">
      <w:r>
        <w:separator/>
      </w:r>
    </w:p>
  </w:footnote>
  <w:footnote w:type="continuationSeparator" w:id="1">
    <w:p w:rsidR="00AF392F" w:rsidRDefault="00AF392F"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B68"/>
    <w:multiLevelType w:val="multilevel"/>
    <w:tmpl w:val="1CF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F246B0"/>
    <w:multiLevelType w:val="multilevel"/>
    <w:tmpl w:val="1A9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6"/>
  </w:num>
  <w:num w:numId="5">
    <w:abstractNumId w:val="4"/>
  </w:num>
  <w:num w:numId="6">
    <w:abstractNumId w:val="3"/>
  </w:num>
  <w:num w:numId="7">
    <w:abstractNumId w:val="10"/>
  </w:num>
  <w:num w:numId="8">
    <w:abstractNumId w:val="7"/>
  </w:num>
  <w:num w:numId="9">
    <w:abstractNumId w:val="5"/>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254CD"/>
    <w:rsid w:val="00036E40"/>
    <w:rsid w:val="00071EFE"/>
    <w:rsid w:val="0009712E"/>
    <w:rsid w:val="000A4EB5"/>
    <w:rsid w:val="000A61A3"/>
    <w:rsid w:val="000A7A43"/>
    <w:rsid w:val="000B7599"/>
    <w:rsid w:val="000E4C23"/>
    <w:rsid w:val="000E4FDB"/>
    <w:rsid w:val="00102361"/>
    <w:rsid w:val="00127B11"/>
    <w:rsid w:val="00127CAE"/>
    <w:rsid w:val="00143960"/>
    <w:rsid w:val="00155301"/>
    <w:rsid w:val="0016763B"/>
    <w:rsid w:val="001815CA"/>
    <w:rsid w:val="001958C9"/>
    <w:rsid w:val="001A3463"/>
    <w:rsid w:val="002611E4"/>
    <w:rsid w:val="0028529B"/>
    <w:rsid w:val="002B20C6"/>
    <w:rsid w:val="002B464F"/>
    <w:rsid w:val="002D0290"/>
    <w:rsid w:val="002D5E46"/>
    <w:rsid w:val="00311F60"/>
    <w:rsid w:val="00371A2F"/>
    <w:rsid w:val="0038799B"/>
    <w:rsid w:val="003A58DA"/>
    <w:rsid w:val="00404D1E"/>
    <w:rsid w:val="004169FA"/>
    <w:rsid w:val="0041783B"/>
    <w:rsid w:val="00474083"/>
    <w:rsid w:val="00475678"/>
    <w:rsid w:val="0049104E"/>
    <w:rsid w:val="0049205D"/>
    <w:rsid w:val="004D158E"/>
    <w:rsid w:val="00523F89"/>
    <w:rsid w:val="00551F26"/>
    <w:rsid w:val="00552AD6"/>
    <w:rsid w:val="00565CE3"/>
    <w:rsid w:val="005C746D"/>
    <w:rsid w:val="005D4CF8"/>
    <w:rsid w:val="005E2D9E"/>
    <w:rsid w:val="005F08A2"/>
    <w:rsid w:val="005F5013"/>
    <w:rsid w:val="00600E6A"/>
    <w:rsid w:val="00623478"/>
    <w:rsid w:val="00643D37"/>
    <w:rsid w:val="0065435B"/>
    <w:rsid w:val="00667AB6"/>
    <w:rsid w:val="00690FB9"/>
    <w:rsid w:val="00695F96"/>
    <w:rsid w:val="006A0154"/>
    <w:rsid w:val="006D2670"/>
    <w:rsid w:val="006E5715"/>
    <w:rsid w:val="0072331A"/>
    <w:rsid w:val="0073118B"/>
    <w:rsid w:val="00754FC0"/>
    <w:rsid w:val="0077383D"/>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5227"/>
    <w:rsid w:val="00A859E0"/>
    <w:rsid w:val="00AD05BD"/>
    <w:rsid w:val="00AD1737"/>
    <w:rsid w:val="00AF392F"/>
    <w:rsid w:val="00B25625"/>
    <w:rsid w:val="00BA21D5"/>
    <w:rsid w:val="00BC63B3"/>
    <w:rsid w:val="00C37C0A"/>
    <w:rsid w:val="00C47EBC"/>
    <w:rsid w:val="00C51F22"/>
    <w:rsid w:val="00C6161A"/>
    <w:rsid w:val="00C63682"/>
    <w:rsid w:val="00CA656E"/>
    <w:rsid w:val="00CD6CD3"/>
    <w:rsid w:val="00D45EF4"/>
    <w:rsid w:val="00D77AE7"/>
    <w:rsid w:val="00DA53E0"/>
    <w:rsid w:val="00DB7A57"/>
    <w:rsid w:val="00DE2BC7"/>
    <w:rsid w:val="00DF102E"/>
    <w:rsid w:val="00DF1928"/>
    <w:rsid w:val="00DF1E19"/>
    <w:rsid w:val="00DF27D0"/>
    <w:rsid w:val="00DF7AF7"/>
    <w:rsid w:val="00E76797"/>
    <w:rsid w:val="00F073D4"/>
    <w:rsid w:val="00F205CE"/>
    <w:rsid w:val="00F921AF"/>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636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unhideWhenUsed/>
    <w:rsid w:val="005E2D9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C6368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2652977">
      <w:bodyDiv w:val="1"/>
      <w:marLeft w:val="0"/>
      <w:marRight w:val="0"/>
      <w:marTop w:val="0"/>
      <w:marBottom w:val="0"/>
      <w:divBdr>
        <w:top w:val="none" w:sz="0" w:space="0" w:color="auto"/>
        <w:left w:val="none" w:sz="0" w:space="0" w:color="auto"/>
        <w:bottom w:val="none" w:sz="0" w:space="0" w:color="auto"/>
        <w:right w:val="none" w:sz="0" w:space="0" w:color="auto"/>
      </w:divBdr>
    </w:div>
    <w:div w:id="157811751">
      <w:bodyDiv w:val="1"/>
      <w:marLeft w:val="0"/>
      <w:marRight w:val="0"/>
      <w:marTop w:val="0"/>
      <w:marBottom w:val="0"/>
      <w:divBdr>
        <w:top w:val="none" w:sz="0" w:space="0" w:color="auto"/>
        <w:left w:val="none" w:sz="0" w:space="0" w:color="auto"/>
        <w:bottom w:val="none" w:sz="0" w:space="0" w:color="auto"/>
        <w:right w:val="none" w:sz="0" w:space="0" w:color="auto"/>
      </w:divBdr>
    </w:div>
    <w:div w:id="762143415">
      <w:bodyDiv w:val="1"/>
      <w:marLeft w:val="0"/>
      <w:marRight w:val="0"/>
      <w:marTop w:val="0"/>
      <w:marBottom w:val="0"/>
      <w:divBdr>
        <w:top w:val="none" w:sz="0" w:space="0" w:color="auto"/>
        <w:left w:val="none" w:sz="0" w:space="0" w:color="auto"/>
        <w:bottom w:val="none" w:sz="0" w:space="0" w:color="auto"/>
        <w:right w:val="none" w:sz="0" w:space="0" w:color="auto"/>
      </w:divBdr>
    </w:div>
    <w:div w:id="796341861">
      <w:bodyDiv w:val="1"/>
      <w:marLeft w:val="0"/>
      <w:marRight w:val="0"/>
      <w:marTop w:val="0"/>
      <w:marBottom w:val="0"/>
      <w:divBdr>
        <w:top w:val="none" w:sz="0" w:space="0" w:color="auto"/>
        <w:left w:val="none" w:sz="0" w:space="0" w:color="auto"/>
        <w:bottom w:val="none" w:sz="0" w:space="0" w:color="auto"/>
        <w:right w:val="none" w:sz="0" w:space="0" w:color="auto"/>
      </w:divBdr>
    </w:div>
    <w:div w:id="897015199">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208447988">
      <w:bodyDiv w:val="1"/>
      <w:marLeft w:val="0"/>
      <w:marRight w:val="0"/>
      <w:marTop w:val="0"/>
      <w:marBottom w:val="0"/>
      <w:divBdr>
        <w:top w:val="none" w:sz="0" w:space="0" w:color="auto"/>
        <w:left w:val="none" w:sz="0" w:space="0" w:color="auto"/>
        <w:bottom w:val="none" w:sz="0" w:space="0" w:color="auto"/>
        <w:right w:val="none" w:sz="0" w:space="0" w:color="auto"/>
      </w:divBdr>
    </w:div>
    <w:div w:id="1354453887">
      <w:bodyDiv w:val="1"/>
      <w:marLeft w:val="0"/>
      <w:marRight w:val="0"/>
      <w:marTop w:val="0"/>
      <w:marBottom w:val="0"/>
      <w:divBdr>
        <w:top w:val="none" w:sz="0" w:space="0" w:color="auto"/>
        <w:left w:val="none" w:sz="0" w:space="0" w:color="auto"/>
        <w:bottom w:val="none" w:sz="0" w:space="0" w:color="auto"/>
        <w:right w:val="none" w:sz="0" w:space="0" w:color="auto"/>
      </w:divBdr>
    </w:div>
    <w:div w:id="1479373604">
      <w:bodyDiv w:val="1"/>
      <w:marLeft w:val="0"/>
      <w:marRight w:val="0"/>
      <w:marTop w:val="0"/>
      <w:marBottom w:val="0"/>
      <w:divBdr>
        <w:top w:val="none" w:sz="0" w:space="0" w:color="auto"/>
        <w:left w:val="none" w:sz="0" w:space="0" w:color="auto"/>
        <w:bottom w:val="none" w:sz="0" w:space="0" w:color="auto"/>
        <w:right w:val="none" w:sz="0" w:space="0" w:color="auto"/>
      </w:divBdr>
    </w:div>
    <w:div w:id="1581400629">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379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33</cp:revision>
  <cp:lastPrinted>2019-06-04T12:32:00Z</cp:lastPrinted>
  <dcterms:created xsi:type="dcterms:W3CDTF">2014-09-10T07:38:00Z</dcterms:created>
  <dcterms:modified xsi:type="dcterms:W3CDTF">2019-09-29T07:58:00Z</dcterms:modified>
</cp:coreProperties>
</file>