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9A4D" w14:textId="77777777" w:rsidR="00695F96" w:rsidRDefault="000838C7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4F24A0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56.75pt;z-index:251660288;mso-width-relative:margin;mso-height-relative:margin" fillcolor="#002060" strokecolor="black [3213]" strokeweight="1.5pt">
            <v:textbox style="mso-next-textbox:#_x0000_s1026">
              <w:txbxContent>
                <w:p w14:paraId="45A9A4F3" w14:textId="619C4B9F" w:rsidR="0095740D" w:rsidRPr="0095740D" w:rsidRDefault="0095740D" w:rsidP="00402C8B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36"/>
                      <w:szCs w:val="36"/>
                    </w:rPr>
                    <w:t>MES-Quick SDS-PAGE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凝胶快速制备试剂盒 </w:t>
                  </w:r>
                  <w:r w:rsidR="0072028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10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%</w:t>
                  </w:r>
                  <w:r w:rsidR="00397857"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14:paraId="011C3DA8" w14:textId="65D41757" w:rsidR="00695F96" w:rsidRPr="0095740D" w:rsidRDefault="0095740D" w:rsidP="00402C8B">
                  <w:pP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MES-Quick SDS-PAGE Gel Preparation Kit</w:t>
                  </w:r>
                  <w:r w:rsidR="0095425F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</w:t>
                  </w:r>
                  <w:r w:rsidR="00703B07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GP1</w:t>
                  </w:r>
                  <w:r w:rsidR="0072028E">
                    <w:rPr>
                      <w:rFonts w:ascii="Arial" w:eastAsia="微软雅黑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</w:p>
    <w:p w14:paraId="50FA5C54" w14:textId="2E19AB23" w:rsidR="00DF27D0" w:rsidRDefault="000838C7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AFCA0E3">
          <v:shape id="_x0000_s1027" type="#_x0000_t202" style="position:absolute;left:0;text-align:left;margin-left:1.4pt;margin-top:29.7pt;width:418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4F2736A1" w14:textId="77777777" w:rsidR="00695F96" w:rsidRPr="0095740D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5740D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2FB4F2FC" w14:textId="29C722CD" w:rsidR="00695F96" w:rsidRDefault="0095740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40F821" wp14:editId="4D8E9DF8">
            <wp:simplePos x="0" y="0"/>
            <wp:positionH relativeFrom="column">
              <wp:posOffset>5374640</wp:posOffset>
            </wp:positionH>
            <wp:positionV relativeFrom="paragraph">
              <wp:posOffset>98425</wp:posOffset>
            </wp:positionV>
            <wp:extent cx="1162050" cy="52006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33ED" w14:textId="6F598F2A" w:rsidR="0095740D" w:rsidRDefault="0095740D" w:rsidP="00703B07">
      <w:pPr>
        <w:wordWrap w:val="0"/>
        <w:autoSpaceDE w:val="0"/>
        <w:autoSpaceDN w:val="0"/>
        <w:adjustRightInd w:val="0"/>
        <w:spacing w:line="360" w:lineRule="exact"/>
        <w:ind w:right="720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</w:p>
    <w:p w14:paraId="177AAA4E" w14:textId="4C2F81E5" w:rsidR="00402C8B" w:rsidRPr="003D4AE4" w:rsidRDefault="00AD173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3D4AE4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产品简介</w:t>
      </w:r>
    </w:p>
    <w:p w14:paraId="7D77998A" w14:textId="23E93ACF" w:rsidR="0095740D" w:rsidRPr="005665D3" w:rsidRDefault="0095740D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MES-Quick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是</w:t>
      </w:r>
      <w:proofErr w:type="spellStart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MesGen</w:t>
      </w:r>
      <w:proofErr w:type="spellEnd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Biotech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最新研发的新型聚丙烯酰胺凝胶配制预混液，是基于传统凝胶配方的多重优化，</w:t>
      </w:r>
      <w:bookmarkStart w:id="0" w:name="_GoBack"/>
      <w:bookmarkEnd w:id="0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不仅简化和缩短凝胶配制步骤和时间，配制时候仅</w:t>
      </w:r>
      <w:r w:rsidR="00B96B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需要分别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混合等量的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A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即可快速完成制胶步骤，其具有更好的稳定性和催化效能，</w:t>
      </w:r>
      <w:proofErr w:type="gramStart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配胶过程</w:t>
      </w:r>
      <w:proofErr w:type="gramEnd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中无需额外添加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TEMED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。</w:t>
      </w:r>
    </w:p>
    <w:p w14:paraId="56E336F7" w14:textId="5B04D083" w:rsidR="00B96BE4" w:rsidRPr="00415F4E" w:rsidRDefault="00B96BE4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Arial" w:cs="Arial"/>
          <w:b/>
          <w:color w:val="000000" w:themeColor="text1"/>
          <w:kern w:val="0"/>
          <w:szCs w:val="21"/>
        </w:rPr>
        <w:t>产品特色</w:t>
      </w:r>
    </w:p>
    <w:p w14:paraId="65C09306" w14:textId="159BD377" w:rsidR="00B96BE4" w:rsidRPr="005665D3" w:rsidRDefault="00B96BE4" w:rsidP="005665D3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简化了丙烯酰胺凝胶配制步骤，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仅需混合等量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A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B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即可完成制胶步骤</w:t>
      </w:r>
      <w:r w:rsidR="003D4AE4" w:rsidRPr="005665D3">
        <w:rPr>
          <w:rFonts w:ascii="Arial" w:eastAsia="微软雅黑" w:hAnsi="Arial" w:cs="Arial" w:hint="eastAsia"/>
          <w:color w:val="000000" w:themeColor="text1"/>
          <w:kern w:val="0"/>
          <w:szCs w:val="21"/>
        </w:rPr>
        <w:t>；</w:t>
      </w:r>
    </w:p>
    <w:p w14:paraId="27D5303D" w14:textId="160C4656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缩短了凝胶配制时间，低于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40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分钟即可完成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B8EC15A" w14:textId="5A211488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避免使用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T</w:t>
      </w:r>
      <w:r w:rsidR="003D4AE4" w:rsidRPr="005665D3">
        <w:rPr>
          <w:rFonts w:ascii="Arial" w:eastAsia="微软雅黑" w:hAnsi="Arial" w:cs="Arial"/>
          <w:color w:val="000000" w:themeColor="text1"/>
          <w:szCs w:val="21"/>
        </w:rPr>
        <w:t>EMED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（有毒），减少了对实验者的身体伤害；</w:t>
      </w:r>
    </w:p>
    <w:p w14:paraId="1E9C6FA4" w14:textId="079FEF60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稳定性好，分辨率高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31BB6FF" w14:textId="77777777" w:rsidR="005D4CF8" w:rsidRPr="00415F4E" w:rsidRDefault="005D4CF8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试剂盒组成</w:t>
      </w:r>
    </w:p>
    <w:tbl>
      <w:tblPr>
        <w:tblStyle w:val="ab"/>
        <w:tblW w:w="765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701"/>
        <w:gridCol w:w="3686"/>
      </w:tblGrid>
      <w:tr w:rsidR="003D4AE4" w:rsidRPr="00397857" w14:paraId="28BDEC6D" w14:textId="7CC0273D" w:rsidTr="00415F4E">
        <w:tc>
          <w:tcPr>
            <w:tcW w:w="2268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9482BC6" w14:textId="77777777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C454A5" w14:textId="10E2662E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体积</w:t>
            </w:r>
          </w:p>
        </w:tc>
        <w:tc>
          <w:tcPr>
            <w:tcW w:w="368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2AE5B20" w14:textId="13B7F5F1" w:rsidR="003D4AE4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备注</w:t>
            </w:r>
          </w:p>
        </w:tc>
      </w:tr>
      <w:tr w:rsidR="00415F4E" w:rsidRPr="00397857" w14:paraId="5CCBD7FE" w14:textId="25EAC028" w:rsidTr="00415F4E">
        <w:tc>
          <w:tcPr>
            <w:tcW w:w="2268" w:type="dxa"/>
            <w:tcBorders>
              <w:left w:val="nil"/>
              <w:right w:val="nil"/>
            </w:tcBorders>
          </w:tcPr>
          <w:p w14:paraId="1923E0CD" w14:textId="2BBFA68B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073CBBA" w14:textId="3F51885C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</w:tcPr>
          <w:p w14:paraId="39DA76CE" w14:textId="34535060" w:rsidR="00415F4E" w:rsidRPr="005665D3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5665D3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如需定制更大包装，请联系产品销售</w:t>
            </w:r>
          </w:p>
        </w:tc>
      </w:tr>
      <w:tr w:rsidR="00415F4E" w:rsidRPr="00397857" w14:paraId="04D82284" w14:textId="0D0C8020" w:rsidTr="00415F4E">
        <w:tc>
          <w:tcPr>
            <w:tcW w:w="2268" w:type="dxa"/>
            <w:tcBorders>
              <w:left w:val="nil"/>
              <w:right w:val="nil"/>
            </w:tcBorders>
          </w:tcPr>
          <w:p w14:paraId="132A1EBE" w14:textId="5027ABA5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EA0EFA" w14:textId="1805AECA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339C0373" w14:textId="391D4E58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5E678F7C" w14:textId="033D129F" w:rsidTr="00415F4E">
        <w:tc>
          <w:tcPr>
            <w:tcW w:w="2268" w:type="dxa"/>
            <w:tcBorders>
              <w:left w:val="nil"/>
              <w:right w:val="nil"/>
            </w:tcBorders>
          </w:tcPr>
          <w:p w14:paraId="72B0DE91" w14:textId="15835785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575EDC" w14:textId="387BAC5B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90007F2" w14:textId="63F965D3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6EC70A0C" w14:textId="713DB2DE" w:rsidTr="00415F4E">
        <w:tc>
          <w:tcPr>
            <w:tcW w:w="2268" w:type="dxa"/>
            <w:tcBorders>
              <w:left w:val="nil"/>
              <w:right w:val="nil"/>
            </w:tcBorders>
          </w:tcPr>
          <w:p w14:paraId="45F87285" w14:textId="68128AC1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74E366D" w14:textId="5066FE3C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6703EB54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0FE3A0DA" w14:textId="1C67D8F3" w:rsidTr="00415F4E">
        <w:tc>
          <w:tcPr>
            <w:tcW w:w="2268" w:type="dxa"/>
            <w:tcBorders>
              <w:left w:val="nil"/>
              <w:right w:val="nil"/>
            </w:tcBorders>
          </w:tcPr>
          <w:p w14:paraId="64D951F0" w14:textId="0ACF9903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3D4AE4">
              <w:rPr>
                <w:rFonts w:ascii="Arial" w:eastAsia="微软雅黑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Accelerator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294D77" w14:textId="5F49DBE9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6FA972D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2E1B516E" w14:textId="77777777" w:rsidR="003D4AE4" w:rsidRPr="005665D3" w:rsidRDefault="003D4AE4" w:rsidP="00415F4E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制胶流程（以一块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0.75/ 1.0/ 1.5 mm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mini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胶为例）</w:t>
      </w:r>
    </w:p>
    <w:p w14:paraId="690FC4BF" w14:textId="28BFC770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1.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胶溶液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2/ 2.7/ 4 mL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1CFBC0C9" w14:textId="64753DEF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2.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40/ 60/ 80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>L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="00415F4E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6208B2A8" w14:textId="79F14005" w:rsidR="003D4AE4" w:rsidRPr="005665D3" w:rsidRDefault="003D4AE4" w:rsidP="00415F4E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的混合溶液注入制胶玻璃板中，使液面和短玻璃板上沿之间的距离比梳齿长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 cm </w:t>
      </w:r>
      <w:r w:rsidRPr="005665D3">
        <w:rPr>
          <w:rFonts w:ascii="Arial" w:eastAsia="微软雅黑" w:hAnsi="Arial" w:cs="Arial" w:hint="eastAsia"/>
          <w:kern w:val="0"/>
          <w:szCs w:val="21"/>
        </w:rPr>
        <w:t>即可（注意：此溶液为过量，请勿全部注入，可留少许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于配胶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杯中，以判断胶凝固状况），加入适量水或醇（如异丙醇、正丁醇等）覆盖于</w:t>
      </w:r>
      <w:r w:rsidR="005665D3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胶之上；</w:t>
      </w:r>
    </w:p>
    <w:p w14:paraId="4EF95E64" w14:textId="714DB89E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/>
          <w:kern w:val="0"/>
          <w:szCs w:val="21"/>
        </w:rPr>
        <w:t>10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~ 1</w:t>
      </w:r>
      <w:r w:rsidR="00415F4E" w:rsidRPr="005665D3">
        <w:rPr>
          <w:rFonts w:ascii="Arial" w:eastAsia="微软雅黑" w:hAnsi="Arial" w:cs="Arial"/>
          <w:kern w:val="0"/>
          <w:szCs w:val="21"/>
        </w:rPr>
        <w:t>5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），倒去上层水或醇；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注意：当水（醇）和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胶之间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有一条折射线时，说明胶已凝固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6248F46" w14:textId="693FA5B4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0.5/ 0.75/ 1 mL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3996278" w14:textId="566F259C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5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10/ 15/ 20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L 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="005665D3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3E6380F7" w14:textId="77777777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6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的混合溶液注入制胶玻璃板中，插入梳齿；</w:t>
      </w:r>
    </w:p>
    <w:p w14:paraId="212F48FD" w14:textId="77777777" w:rsid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上层胶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 ~ 15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），拔去梳齿即可用于电泳。</w:t>
      </w:r>
    </w:p>
    <w:p w14:paraId="0A5768BD" w14:textId="49C4E26D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注意：请尽量使用新鲜配制的电泳缓冲液。</w:t>
      </w:r>
    </w:p>
    <w:p w14:paraId="32166A78" w14:textId="77777777" w:rsidR="005665D3" w:rsidRDefault="005665D3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14:paraId="13D899AE" w14:textId="2E0FE023" w:rsidR="003D4AE4" w:rsidRPr="005665D3" w:rsidRDefault="003D4AE4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5665D3"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lastRenderedPageBreak/>
        <w:t>产品包装</w:t>
      </w:r>
    </w:p>
    <w:tbl>
      <w:tblPr>
        <w:tblStyle w:val="ab"/>
        <w:tblW w:w="8397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09"/>
        <w:gridCol w:w="1417"/>
        <w:gridCol w:w="1701"/>
        <w:gridCol w:w="1985"/>
        <w:gridCol w:w="1985"/>
      </w:tblGrid>
      <w:tr w:rsidR="003D4AE4" w:rsidRPr="00397857" w14:paraId="0D499844" w14:textId="77777777" w:rsidTr="008C2737">
        <w:tc>
          <w:tcPr>
            <w:tcW w:w="1309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78C653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货号</w:t>
            </w:r>
          </w:p>
        </w:tc>
        <w:tc>
          <w:tcPr>
            <w:tcW w:w="141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13502F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胶浓度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5FF80240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0.75mm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487B2FA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1.0mm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38E03B24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</w:tr>
      <w:tr w:rsidR="003D4AE4" w:rsidRPr="00397857" w14:paraId="01FE0790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5B63276B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5EC0EFD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6.0%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C07AE97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DC1B6E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B93039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2EB1D21B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0974BFE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EF301A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7.5%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B930A0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2F452B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216C5DF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472D305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6D62455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03CB8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47F0EC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9676B1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84606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5195BDE9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44160F81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D5D938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12%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9F200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40A39DE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75ACDC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6858353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8A3735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18C35A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F252B4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D5BAED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14F33D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</w:tbl>
    <w:p w14:paraId="0B2B547E" w14:textId="77777777" w:rsidR="005665D3" w:rsidRPr="005665D3" w:rsidRDefault="005665D3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注意事项</w:t>
      </w:r>
    </w:p>
    <w:p w14:paraId="185529A9" w14:textId="4778F99F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1.</w:t>
      </w:r>
      <w:r w:rsidRPr="005665D3">
        <w:rPr>
          <w:rFonts w:ascii="Arial" w:eastAsia="微软雅黑" w:hAnsi="Arial" w:cs="Arial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促凝剂的使用量仅作参考，实际用量可根据实验者的经验调整。加入较多量的促凝剂可加速凝胶，反之亦然；</w:t>
      </w:r>
    </w:p>
    <w:p w14:paraId="162C019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本产品已加入适量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 </w:t>
      </w:r>
      <w:r w:rsidRPr="005665D3">
        <w:rPr>
          <w:rFonts w:ascii="Arial" w:eastAsia="微软雅黑" w:hAnsi="Arial" w:cs="Arial" w:hint="eastAsia"/>
          <w:kern w:val="0"/>
          <w:szCs w:val="21"/>
        </w:rPr>
        <w:t>的替代品，如需进一步加速凝胶，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临配胶前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可按需补充适量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</w:t>
      </w:r>
      <w:r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3146362E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在配胶之前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，使胶溶液及缓冲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液平衡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到室温（如室温放置几分钟），可有效避免凝胶中气泡的形成；</w:t>
      </w:r>
    </w:p>
    <w:p w14:paraId="6D99564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凝胶速度与温度有显著的正相关性。同等条件下，温度越高，凝胶速度越快；</w:t>
      </w:r>
    </w:p>
    <w:p w14:paraId="2E8EE9C2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推荐电泳条件为：</w:t>
      </w:r>
      <w:r w:rsidRPr="005665D3">
        <w:rPr>
          <w:rFonts w:ascii="Arial" w:eastAsia="微软雅黑" w:hAnsi="Arial" w:cs="Arial" w:hint="eastAsia"/>
          <w:kern w:val="0"/>
          <w:szCs w:val="21"/>
        </w:rPr>
        <w:t>150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45 min</w:t>
      </w:r>
      <w:r w:rsidRPr="005665D3">
        <w:rPr>
          <w:rFonts w:ascii="Arial" w:eastAsia="微软雅黑" w:hAnsi="Arial" w:cs="Arial" w:hint="eastAsia"/>
          <w:kern w:val="0"/>
          <w:szCs w:val="21"/>
        </w:rPr>
        <w:t>（或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200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30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）；</w:t>
      </w:r>
    </w:p>
    <w:p w14:paraId="3BAA91E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为了您的安全和健康，请穿实验服并戴一次性手套操作；</w:t>
      </w:r>
    </w:p>
    <w:p w14:paraId="19ACA11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本产品仅限科研使用。</w:t>
      </w:r>
    </w:p>
    <w:p w14:paraId="675A721C" w14:textId="77777777" w:rsidR="003D4AE4" w:rsidRPr="005665D3" w:rsidRDefault="003D4AE4" w:rsidP="0095425F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kern w:val="0"/>
          <w:szCs w:val="21"/>
        </w:rPr>
      </w:pPr>
    </w:p>
    <w:p w14:paraId="65AE1E79" w14:textId="77777777" w:rsidR="00BF6949" w:rsidRPr="005665D3" w:rsidRDefault="00BF6949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kern w:val="0"/>
          <w:szCs w:val="21"/>
        </w:rPr>
        <w:t>储存条件</w:t>
      </w:r>
    </w:p>
    <w:p w14:paraId="63D3F234" w14:textId="1349689B" w:rsidR="00BF6949" w:rsidRPr="005665D3" w:rsidRDefault="005665D3" w:rsidP="007D53E9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B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uffer A 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和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 xml:space="preserve"> 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Buffer B 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避光保存于</w:t>
      </w:r>
      <w:r w:rsidRPr="005665D3">
        <w:rPr>
          <w:rFonts w:ascii="Arial" w:eastAsia="微软雅黑" w:hAnsi="微软雅黑" w:cs="Arial"/>
          <w:color w:val="000000"/>
          <w:kern w:val="0"/>
          <w:szCs w:val="21"/>
        </w:rPr>
        <w:t>4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℃，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保存于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-20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℃，避光，有效期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12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个月。</w:t>
      </w:r>
    </w:p>
    <w:p w14:paraId="54FFA475" w14:textId="77777777" w:rsidR="00CC1555" w:rsidRPr="005665D3" w:rsidRDefault="00CC1555" w:rsidP="002065EC">
      <w:pPr>
        <w:widowControl/>
        <w:shd w:val="clear" w:color="auto" w:fill="FFFFFF"/>
        <w:spacing w:line="400" w:lineRule="exact"/>
        <w:jc w:val="center"/>
        <w:rPr>
          <w:rFonts w:ascii="Arial" w:eastAsia="微软雅黑" w:hAnsi="Arial" w:cs="Arial"/>
          <w:b/>
          <w:color w:val="000000"/>
          <w:szCs w:val="21"/>
          <w:shd w:val="clear" w:color="auto" w:fill="FFFFFF"/>
        </w:rPr>
      </w:pPr>
    </w:p>
    <w:p w14:paraId="6E550819" w14:textId="77777777" w:rsidR="00623478" w:rsidRPr="005665D3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</w:t>
      </w:r>
      <w:r w:rsidR="00E740A0"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诊断、治疗</w:t>
      </w:r>
    </w:p>
    <w:sectPr w:rsidR="00623478" w:rsidRPr="005665D3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BBEC" w14:textId="77777777" w:rsidR="000838C7" w:rsidRDefault="000838C7" w:rsidP="0065435B">
      <w:r>
        <w:separator/>
      </w:r>
    </w:p>
  </w:endnote>
  <w:endnote w:type="continuationSeparator" w:id="0">
    <w:p w14:paraId="0C15B89C" w14:textId="77777777" w:rsidR="000838C7" w:rsidRDefault="000838C7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71"/>
      <w:docPartObj>
        <w:docPartGallery w:val="Page Numbers (Bottom of Page)"/>
        <w:docPartUnique/>
      </w:docPartObj>
    </w:sdtPr>
    <w:sdtEndPr/>
    <w:sdtContent>
      <w:p w14:paraId="17B7CE4B" w14:textId="77777777" w:rsidR="009C516F" w:rsidRPr="009C516F" w:rsidRDefault="007F35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3C" w:rsidRPr="002F1D3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171BFAF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B793" w14:textId="77777777" w:rsidR="000838C7" w:rsidRDefault="000838C7" w:rsidP="0065435B">
      <w:r>
        <w:separator/>
      </w:r>
    </w:p>
  </w:footnote>
  <w:footnote w:type="continuationSeparator" w:id="0">
    <w:p w14:paraId="46BF4F5E" w14:textId="77777777" w:rsidR="000838C7" w:rsidRDefault="000838C7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530CD"/>
    <w:rsid w:val="00054E3E"/>
    <w:rsid w:val="00066E60"/>
    <w:rsid w:val="00071EFE"/>
    <w:rsid w:val="000838C7"/>
    <w:rsid w:val="000A1EAA"/>
    <w:rsid w:val="000A4EB5"/>
    <w:rsid w:val="000A61A3"/>
    <w:rsid w:val="000B7599"/>
    <w:rsid w:val="000E4C23"/>
    <w:rsid w:val="000F3C0C"/>
    <w:rsid w:val="00102361"/>
    <w:rsid w:val="00122388"/>
    <w:rsid w:val="00127CAE"/>
    <w:rsid w:val="00130ACE"/>
    <w:rsid w:val="00143960"/>
    <w:rsid w:val="00175F6C"/>
    <w:rsid w:val="001958C9"/>
    <w:rsid w:val="001A3463"/>
    <w:rsid w:val="002065EC"/>
    <w:rsid w:val="00242399"/>
    <w:rsid w:val="002B464F"/>
    <w:rsid w:val="002D5E46"/>
    <w:rsid w:val="002F1D3C"/>
    <w:rsid w:val="002F467D"/>
    <w:rsid w:val="00311F60"/>
    <w:rsid w:val="00320C0E"/>
    <w:rsid w:val="00371A2F"/>
    <w:rsid w:val="00397857"/>
    <w:rsid w:val="003A58DA"/>
    <w:rsid w:val="003D1676"/>
    <w:rsid w:val="003D4AE4"/>
    <w:rsid w:val="00402C8B"/>
    <w:rsid w:val="00415F4E"/>
    <w:rsid w:val="00474083"/>
    <w:rsid w:val="00475678"/>
    <w:rsid w:val="0049205D"/>
    <w:rsid w:val="004D158E"/>
    <w:rsid w:val="00523F89"/>
    <w:rsid w:val="00552AD6"/>
    <w:rsid w:val="005665D3"/>
    <w:rsid w:val="005D4CF8"/>
    <w:rsid w:val="005F29D0"/>
    <w:rsid w:val="00623478"/>
    <w:rsid w:val="00643D37"/>
    <w:rsid w:val="0065283E"/>
    <w:rsid w:val="0065435B"/>
    <w:rsid w:val="00690FB9"/>
    <w:rsid w:val="00695F96"/>
    <w:rsid w:val="006A0154"/>
    <w:rsid w:val="006D2DEC"/>
    <w:rsid w:val="006E5715"/>
    <w:rsid w:val="00703B07"/>
    <w:rsid w:val="0072028E"/>
    <w:rsid w:val="0072331A"/>
    <w:rsid w:val="00754FC0"/>
    <w:rsid w:val="0077383D"/>
    <w:rsid w:val="00782BF5"/>
    <w:rsid w:val="007A48A9"/>
    <w:rsid w:val="007D53E9"/>
    <w:rsid w:val="007F35BB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5740D"/>
    <w:rsid w:val="00960F00"/>
    <w:rsid w:val="009A5908"/>
    <w:rsid w:val="009C516F"/>
    <w:rsid w:val="009E39D2"/>
    <w:rsid w:val="00A34E28"/>
    <w:rsid w:val="00A42706"/>
    <w:rsid w:val="00A42A9B"/>
    <w:rsid w:val="00A75227"/>
    <w:rsid w:val="00AD1737"/>
    <w:rsid w:val="00AD3BF8"/>
    <w:rsid w:val="00B0333C"/>
    <w:rsid w:val="00B45D79"/>
    <w:rsid w:val="00B96BE4"/>
    <w:rsid w:val="00BF6949"/>
    <w:rsid w:val="00C37C0A"/>
    <w:rsid w:val="00C51F22"/>
    <w:rsid w:val="00C6161A"/>
    <w:rsid w:val="00CC1555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F205CE"/>
    <w:rsid w:val="00F944FB"/>
    <w:rsid w:val="00F9744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4CFF"/>
  <w15:docId w15:val="{B311E353-9926-4C65-A88E-CA596CF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96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16</cp:revision>
  <cp:lastPrinted>2017-06-23T13:16:00Z</cp:lastPrinted>
  <dcterms:created xsi:type="dcterms:W3CDTF">2016-07-08T02:33:00Z</dcterms:created>
  <dcterms:modified xsi:type="dcterms:W3CDTF">2019-12-18T05:54:00Z</dcterms:modified>
</cp:coreProperties>
</file>