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E6B0" w14:textId="77777777" w:rsidR="00695F96" w:rsidRDefault="00576144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2DF5AF6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41.8pt;z-index:251658240;mso-width-relative:margin;mso-height-relative:margin" fillcolor="black [3213]" strokecolor="black [3213]" strokeweight="1.5pt">
            <v:textbox style="mso-next-textbox:#_x0000_s1026">
              <w:txbxContent>
                <w:p w14:paraId="65E03368" w14:textId="310AD35A" w:rsidR="00404D1E" w:rsidRPr="003E1462" w:rsidRDefault="00D5104A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</w:pPr>
                  <w:proofErr w:type="spellStart"/>
                  <w:r w:rsidRPr="00D5104A"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30"/>
                      <w:szCs w:val="30"/>
                    </w:rPr>
                    <w:t>MesPoly</w:t>
                  </w:r>
                  <w:r w:rsidRPr="00D5104A"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30"/>
                      <w:szCs w:val="30"/>
                      <w:vertAlign w:val="superscript"/>
                    </w:rPr>
                    <w:t>TM</w:t>
                  </w:r>
                  <w:proofErr w:type="spellEnd"/>
                  <w:r w:rsidRPr="00D5104A"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30"/>
                      <w:szCs w:val="30"/>
                    </w:rPr>
                    <w:t xml:space="preserve"> Transfection Reagent</w:t>
                  </w:r>
                  <w:r w:rsidR="003E1462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="003E1462"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                 </w:t>
                  </w:r>
                  <w:r w:rsidR="00A9007A" w:rsidRPr="00A9007A"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Cs w:val="21"/>
                    </w:rPr>
                    <w:t>Transfection Grade</w:t>
                  </w:r>
                </w:p>
              </w:txbxContent>
            </v:textbox>
          </v:shape>
        </w:pict>
      </w:r>
    </w:p>
    <w:p w14:paraId="096CE5E7" w14:textId="56BA5F29" w:rsidR="00DF27D0" w:rsidRDefault="003E1462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24D4034A">
          <v:shape id="_x0000_s1027" type="#_x0000_t202" style="position:absolute;left:0;text-align:left;margin-left:1.4pt;margin-top:14.75pt;width:433.05pt;height:42.75pt;z-index:251659264;mso-position-horizontal-relative:text;mso-position-vertical-relative:text;mso-width-relative:margin;mso-height-relative:margin" fillcolor="#002060" strokecolor="black [3213]" strokeweight="1.5pt">
            <v:textbox style="mso-next-textbox:#_x0000_s1027">
              <w:txbxContent>
                <w:p w14:paraId="3E42D0AF" w14:textId="77777777"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E702B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31BC7AFA" w14:textId="46E182DB" w:rsidR="00695F96" w:rsidRDefault="003E1462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5571AE6" wp14:editId="40A29321">
            <wp:simplePos x="0" y="0"/>
            <wp:positionH relativeFrom="column">
              <wp:posOffset>5546090</wp:posOffset>
            </wp:positionH>
            <wp:positionV relativeFrom="paragraph">
              <wp:posOffset>49530</wp:posOffset>
            </wp:positionV>
            <wp:extent cx="1000125" cy="333375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3F0E3C" w14:textId="00EFD8DF" w:rsidR="00A9007A" w:rsidRPr="00A9007A" w:rsidRDefault="00D5104A" w:rsidP="00A9007A">
      <w:pPr>
        <w:pStyle w:val="Default"/>
        <w:spacing w:line="300" w:lineRule="exact"/>
        <w:rPr>
          <w:rFonts w:eastAsia="Meiryo"/>
          <w:color w:val="000000" w:themeColor="text1"/>
          <w:sz w:val="18"/>
          <w:szCs w:val="18"/>
        </w:rPr>
      </w:pPr>
      <w:r>
        <w:rPr>
          <w:rFonts w:eastAsia="Meiryo"/>
          <w:b/>
          <w:bCs/>
          <w:noProof/>
          <w:color w:val="000000" w:themeColor="text1"/>
          <w:sz w:val="18"/>
          <w:szCs w:val="18"/>
        </w:rPr>
        <w:pict w14:anchorId="328C3AA7">
          <v:rect id="_x0000_s1029" style="position:absolute;margin-left:424.7pt;margin-top:2.7pt;width:11.25pt;height:10.5pt;z-index:251660288"/>
        </w:pict>
      </w:r>
      <w:r>
        <w:rPr>
          <w:noProof/>
          <w:color w:val="000000" w:themeColor="text1"/>
          <w:sz w:val="18"/>
          <w:szCs w:val="18"/>
        </w:rPr>
        <w:pict w14:anchorId="328C3AA7">
          <v:rect id="_x0000_s1030" style="position:absolute;margin-left:495.95pt;margin-top:2.7pt;width:11.25pt;height:10.5pt;z-index:251661312"/>
        </w:pict>
      </w:r>
      <w:r w:rsidR="00404D1E" w:rsidRPr="00A9007A">
        <w:rPr>
          <w:rFonts w:eastAsia="Meiryo"/>
          <w:b/>
          <w:bCs/>
          <w:color w:val="000000" w:themeColor="text1"/>
          <w:sz w:val="18"/>
          <w:szCs w:val="18"/>
        </w:rPr>
        <w:t xml:space="preserve">Catalog </w:t>
      </w:r>
      <w:proofErr w:type="gramStart"/>
      <w:r w:rsidR="00404D1E" w:rsidRPr="00A9007A">
        <w:rPr>
          <w:rFonts w:eastAsia="Meiryo"/>
          <w:b/>
          <w:bCs/>
          <w:color w:val="000000" w:themeColor="text1"/>
          <w:sz w:val="18"/>
          <w:szCs w:val="18"/>
        </w:rPr>
        <w:t>Number :</w:t>
      </w:r>
      <w:proofErr w:type="gramEnd"/>
      <w:r w:rsidR="002D0290" w:rsidRPr="00A9007A">
        <w:rPr>
          <w:rFonts w:eastAsia="Meiryo"/>
          <w:b/>
          <w:bCs/>
          <w:color w:val="000000" w:themeColor="text1"/>
          <w:sz w:val="18"/>
          <w:szCs w:val="18"/>
        </w:rPr>
        <w:t xml:space="preserve"> </w:t>
      </w:r>
      <w:r w:rsidR="005E2D9E" w:rsidRPr="00A9007A">
        <w:rPr>
          <w:rFonts w:eastAsia="Meiryo"/>
          <w:bCs/>
          <w:color w:val="000000" w:themeColor="text1"/>
          <w:sz w:val="18"/>
          <w:szCs w:val="18"/>
        </w:rPr>
        <w:t>M</w:t>
      </w:r>
      <w:r w:rsidR="00D973F3">
        <w:rPr>
          <w:rFonts w:eastAsia="Meiryo"/>
          <w:bCs/>
          <w:color w:val="000000" w:themeColor="text1"/>
          <w:sz w:val="18"/>
          <w:szCs w:val="18"/>
        </w:rPr>
        <w:t>TP2500</w:t>
      </w:r>
      <w:r>
        <w:rPr>
          <w:rFonts w:eastAsia="Meiryo"/>
          <w:bCs/>
          <w:color w:val="000000" w:themeColor="text1"/>
          <w:sz w:val="18"/>
          <w:szCs w:val="18"/>
        </w:rPr>
        <w:t>S</w:t>
      </w:r>
      <w:r w:rsidR="002D0290" w:rsidRPr="00A9007A">
        <w:rPr>
          <w:rFonts w:eastAsia="Meiryo"/>
          <w:b/>
          <w:bCs/>
          <w:color w:val="000000" w:themeColor="text1"/>
          <w:sz w:val="18"/>
          <w:szCs w:val="18"/>
        </w:rPr>
        <w:t xml:space="preserve">  </w:t>
      </w:r>
      <w:r w:rsidR="00CD6CD3" w:rsidRPr="00A9007A">
        <w:rPr>
          <w:rFonts w:eastAsia="Meiryo"/>
          <w:b/>
          <w:bCs/>
          <w:color w:val="000000" w:themeColor="text1"/>
          <w:sz w:val="18"/>
          <w:szCs w:val="18"/>
        </w:rPr>
        <w:t xml:space="preserve">                                        Packaging Size : </w:t>
      </w:r>
      <w:r>
        <w:rPr>
          <w:rFonts w:eastAsia="Meiryo"/>
          <w:b/>
          <w:bCs/>
          <w:color w:val="000000" w:themeColor="text1"/>
          <w:sz w:val="18"/>
          <w:szCs w:val="18"/>
        </w:rPr>
        <w:t xml:space="preserve"> 1.5ml        5×1.5ml</w:t>
      </w:r>
    </w:p>
    <w:p w14:paraId="17EACCA8" w14:textId="77777777" w:rsidR="00036E40" w:rsidRPr="00600E6A" w:rsidRDefault="00036E40" w:rsidP="00D5104A">
      <w:pPr>
        <w:pStyle w:val="Default"/>
        <w:spacing w:line="320" w:lineRule="exact"/>
        <w:rPr>
          <w:rFonts w:hint="eastAsia"/>
          <w:b/>
          <w:i/>
          <w:sz w:val="21"/>
          <w:szCs w:val="21"/>
          <w:shd w:val="clear" w:color="auto" w:fill="FFFFFF"/>
        </w:rPr>
      </w:pPr>
    </w:p>
    <w:p w14:paraId="2B2FAC90" w14:textId="63977571" w:rsidR="00D5104A" w:rsidRPr="00D5104A" w:rsidRDefault="00D5104A" w:rsidP="003E1462">
      <w:pPr>
        <w:pStyle w:val="Default"/>
        <w:spacing w:line="320" w:lineRule="exact"/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</w:pPr>
      <w:r w:rsidRPr="00D5104A"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  <w:t>产品概述</w:t>
      </w:r>
    </w:p>
    <w:p w14:paraId="5EFBD745" w14:textId="4EE87EAD" w:rsidR="00D5104A" w:rsidRPr="00D5104A" w:rsidRDefault="00D5104A" w:rsidP="003E1462">
      <w:pPr>
        <w:widowControl/>
        <w:shd w:val="clear" w:color="auto" w:fill="FFFFFF"/>
        <w:spacing w:line="32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proofErr w:type="spellStart"/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M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esPoly</w:t>
      </w:r>
      <w:r w:rsidR="003E1462"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perscript"/>
        </w:rPr>
        <w:t>TM</w:t>
      </w:r>
      <w:proofErr w:type="spellEnd"/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是基于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线性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聚乙烯亚胺的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一种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新型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阳离子聚合物，它</w:t>
      </w:r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通过正负电荷作用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与核酸形成复合物，并使该复合物进入哺乳动物细胞。</w:t>
      </w:r>
      <w:proofErr w:type="spellStart"/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M</w:t>
      </w:r>
      <w:r w:rsid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esPoly</w:t>
      </w:r>
      <w:r w:rsidR="003E1462"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perscript"/>
        </w:rPr>
        <w:t>TM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转染试剂广泛适用于常见细胞系，如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HEK-293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HEK293T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Hep G2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Hela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CHO-K1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COS-1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COS-7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NIH/3T3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和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Sf9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等。该试剂即使在有血清存在的情况下，它仍然能高效的将核酸导入细胞。</w:t>
      </w:r>
    </w:p>
    <w:p w14:paraId="7E7E4C6D" w14:textId="708A3782" w:rsidR="00D5104A" w:rsidRPr="00D5104A" w:rsidRDefault="00D5104A" w:rsidP="003E1462">
      <w:pPr>
        <w:pStyle w:val="Default"/>
        <w:spacing w:beforeLines="50" w:before="156" w:line="320" w:lineRule="exact"/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</w:pPr>
      <w:r w:rsidRPr="00D5104A"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  <w:t>M</w:t>
      </w:r>
      <w:r w:rsidRPr="00D5104A"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  <w:t>esPoly</w:t>
      </w:r>
      <w:r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  <w:t>特点</w:t>
      </w:r>
    </w:p>
    <w:p w14:paraId="03A6EC95" w14:textId="5006EB12" w:rsidR="00D5104A" w:rsidRPr="003E1462" w:rsidRDefault="00D5104A" w:rsidP="003E1462">
      <w:pPr>
        <w:pStyle w:val="a9"/>
        <w:widowControl/>
        <w:numPr>
          <w:ilvl w:val="0"/>
          <w:numId w:val="16"/>
        </w:numPr>
        <w:shd w:val="clear" w:color="auto" w:fill="FFFFFF"/>
        <w:spacing w:line="320" w:lineRule="exact"/>
        <w:ind w:firstLineChars="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优越的转染效率</w:t>
      </w:r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 xml:space="preserve"> </w:t>
      </w:r>
      <w:r w:rsidR="003E1462">
        <w:rPr>
          <w:rFonts w:ascii="微软雅黑" w:eastAsia="微软雅黑" w:hAnsi="微软雅黑" w:cs="Arial" w:hint="eastAsia"/>
          <w:color w:val="000000" w:themeColor="text1"/>
          <w:kern w:val="0"/>
          <w:sz w:val="18"/>
          <w:szCs w:val="18"/>
        </w:rPr>
        <w:t>※</w:t>
      </w:r>
      <w:r w:rsid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重组蛋白的</w:t>
      </w:r>
      <w:proofErr w:type="gramStart"/>
      <w:r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高表达</w:t>
      </w:r>
      <w:proofErr w:type="gramEnd"/>
      <w:r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水平</w:t>
      </w:r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 xml:space="preserve"> </w:t>
      </w:r>
      <w:r w:rsidR="003E1462">
        <w:rPr>
          <w:rFonts w:ascii="微软雅黑" w:eastAsia="微软雅黑" w:hAnsi="微软雅黑" w:cs="Arial" w:hint="eastAsia"/>
          <w:color w:val="000000" w:themeColor="text1"/>
          <w:kern w:val="0"/>
          <w:sz w:val="18"/>
          <w:szCs w:val="18"/>
        </w:rPr>
        <w:t>※</w:t>
      </w:r>
      <w:r w:rsid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与含血清的培养基相兼容</w:t>
      </w:r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 xml:space="preserve"> </w:t>
      </w:r>
      <w:r w:rsidR="003E1462">
        <w:rPr>
          <w:rFonts w:ascii="微软雅黑" w:eastAsia="微软雅黑" w:hAnsi="微软雅黑" w:cs="Arial" w:hint="eastAsia"/>
          <w:color w:val="000000" w:themeColor="text1"/>
          <w:kern w:val="0"/>
          <w:sz w:val="18"/>
          <w:szCs w:val="18"/>
        </w:rPr>
        <w:t>※</w:t>
      </w:r>
      <w:r w:rsid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低细胞毒性，易于操作</w:t>
      </w:r>
    </w:p>
    <w:p w14:paraId="0710E895" w14:textId="703A7BC7" w:rsidR="00D5104A" w:rsidRPr="00D5104A" w:rsidRDefault="00D5104A" w:rsidP="003E1462">
      <w:pPr>
        <w:pStyle w:val="Default"/>
        <w:spacing w:beforeLines="50" w:before="156" w:line="320" w:lineRule="exact"/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  <w:t>A</w:t>
      </w:r>
      <w:r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5104A"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  <w:t>瞬时转染方法：</w:t>
      </w:r>
    </w:p>
    <w:p w14:paraId="2EB746D7" w14:textId="545331EB" w:rsidR="00D5104A" w:rsidRPr="00D5104A" w:rsidRDefault="00D5104A" w:rsidP="003E1462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proofErr w:type="gram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一</w:t>
      </w:r>
      <w:proofErr w:type="gram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．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接种细胞，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转染前一天，用</w:t>
      </w:r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胰酶溶液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消化细胞并计数。调整细胞浓度，将细胞铺入细胞培养的器皿，每个孔置入的细胞量应能使转染时细胞汇合度达到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70~80%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。</w:t>
      </w:r>
    </w:p>
    <w:p w14:paraId="4825851B" w14:textId="6E6C71EF" w:rsidR="00D5104A" w:rsidRPr="00D5104A" w:rsidRDefault="00D5104A" w:rsidP="003E1462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二．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 xml:space="preserve">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准备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DNA-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复合物，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DNA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试剂和稀释剂在进行以下步骤前需先使其升至室温。用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Opti-MEM I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perscript"/>
        </w:rPr>
        <w:t>TM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（</w:t>
      </w:r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I</w:t>
      </w:r>
      <w:r w:rsid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nvitrogen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）或其他适合的无蛋白培养基</w:t>
      </w:r>
      <w:proofErr w:type="spell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MesTransfect</w:t>
      </w:r>
      <w:r w:rsidR="003E1462"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perscript"/>
        </w:rPr>
        <w:t>TM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Reduced Serum Medium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（</w:t>
      </w:r>
      <w:proofErr w:type="spellStart"/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M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esGen</w:t>
      </w:r>
      <w:proofErr w:type="spellEnd"/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）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稀释适量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DNA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。用</w:t>
      </w:r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上述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培养基稀释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。每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1 </w:t>
      </w:r>
      <w:proofErr w:type="spell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μg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需用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2-5 </w:t>
      </w:r>
      <w:proofErr w:type="spell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μL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转染试剂。一边轻轻涡旋装有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DNA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溶液的试管，一边将稀释的转染试剂滴加至试管中（请勿颠倒添加顺序）。充分混匀后，室温静置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10~25 min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以形成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DNA-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复合物。当溶液体积较大时，请用圆底聚丙烯管，例</w:t>
      </w:r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如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5 mL /14 mL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离心管。</w:t>
      </w:r>
    </w:p>
    <w:p w14:paraId="627033B0" w14:textId="38AD6A8A" w:rsidR="00D5104A" w:rsidRPr="00D5104A" w:rsidRDefault="00D5104A" w:rsidP="003E1462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三．转染细胞，直接向每个孔中加入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DNA-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复合物并轻轻涡旋培养板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 xml:space="preserve">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/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培养皿。在无血清条件下转染时，去除生长培养基，替换成无血清培养基，然后滴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DNA-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复合物。转染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3 h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后，添加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1/2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体积的包含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30%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血清的生长培养基。</w:t>
      </w:r>
    </w:p>
    <w:p w14:paraId="057BC50D" w14:textId="77777777" w:rsidR="00D5104A" w:rsidRPr="00D5104A" w:rsidRDefault="00D5104A" w:rsidP="003E1462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四．孵育细胞和分析结果，在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CO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bscript"/>
        </w:rPr>
        <w:t>2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培养箱中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37</w:t>
      </w:r>
      <w:r w:rsidRPr="00D5104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℃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下孵育细胞至可以分析检测。转染后最快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7 h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即可检测到转入基因的表达。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请自行确定最适合检测时间。</w:t>
      </w:r>
    </w:p>
    <w:p w14:paraId="467867E3" w14:textId="046A5B6D" w:rsidR="00D5104A" w:rsidRPr="00D5104A" w:rsidRDefault="00D5104A" w:rsidP="003E1462">
      <w:pPr>
        <w:widowControl/>
        <w:shd w:val="clear" w:color="auto" w:fill="FFFFFF"/>
        <w:spacing w:beforeLines="50" w:before="156" w:line="320" w:lineRule="exact"/>
        <w:jc w:val="left"/>
        <w:rPr>
          <w:rFonts w:ascii="Arial" w:eastAsia="微软雅黑" w:hAnsi="Arial" w:cs="Arial"/>
          <w:b/>
          <w:bCs/>
          <w:color w:val="000000" w:themeColor="text1"/>
          <w:kern w:val="0"/>
          <w:szCs w:val="21"/>
          <w:shd w:val="clear" w:color="auto" w:fill="FFFFFF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</w:t>
      </w:r>
      <w:r>
        <w:rPr>
          <w:rFonts w:eastAsia="微软雅黑" w:hint="eastAsia"/>
          <w:b/>
          <w:bCs/>
          <w:color w:val="000000" w:themeColor="text1"/>
          <w:szCs w:val="21"/>
          <w:shd w:val="clear" w:color="auto" w:fill="FFFFFF"/>
        </w:rPr>
        <w:t>B</w:t>
      </w:r>
      <w:r>
        <w:rPr>
          <w:rFonts w:eastAsia="微软雅黑"/>
          <w:b/>
          <w:bCs/>
          <w:color w:val="000000" w:themeColor="text1"/>
          <w:szCs w:val="21"/>
          <w:shd w:val="clear" w:color="auto" w:fill="FFFFFF"/>
        </w:rPr>
        <w:t xml:space="preserve"> </w:t>
      </w:r>
      <w:r w:rsidRPr="00D5104A">
        <w:rPr>
          <w:rFonts w:ascii="Arial" w:eastAsia="微软雅黑" w:hAnsi="Arial" w:cs="Arial"/>
          <w:b/>
          <w:bCs/>
          <w:color w:val="000000" w:themeColor="text1"/>
          <w:kern w:val="0"/>
          <w:szCs w:val="21"/>
          <w:shd w:val="clear" w:color="auto" w:fill="FFFFFF"/>
        </w:rPr>
        <w:t>稳定转染方法：</w:t>
      </w:r>
    </w:p>
    <w:p w14:paraId="14365333" w14:textId="77777777" w:rsidR="00D5104A" w:rsidRPr="00D5104A" w:rsidRDefault="00D5104A" w:rsidP="003E1462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proofErr w:type="gram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一</w:t>
      </w:r>
      <w:proofErr w:type="gram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．接种细胞，转染前一天，用胰酶消化细胞并计数。调整细胞浓度，将细胞铺入细胞培养的器皿，每个孔置入的细胞量应能使转染时细胞汇合度达到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70~80%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。</w:t>
      </w:r>
    </w:p>
    <w:p w14:paraId="032275F1" w14:textId="3D851D69" w:rsidR="00D5104A" w:rsidRPr="00D5104A" w:rsidRDefault="00D5104A" w:rsidP="003E1462">
      <w:pPr>
        <w:widowControl/>
        <w:shd w:val="clear" w:color="auto" w:fill="FFFFFF"/>
        <w:spacing w:line="320" w:lineRule="exact"/>
        <w:ind w:left="270" w:hangingChars="150" w:hanging="27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二．准备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DNA-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复合物：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试剂和稀释剂在进行以下步骤前需先使其升至室温。用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Opti-MEM I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perscript"/>
        </w:rPr>
        <w:t>TM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（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Invitrogen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）或其他适合的无蛋白培养基</w:t>
      </w:r>
      <w:proofErr w:type="spell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MesTransfect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Reduced Serum Medium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（</w:t>
      </w:r>
      <w:proofErr w:type="spellStart"/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M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esGen</w:t>
      </w:r>
      <w:proofErr w:type="spellEnd"/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）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稀释适量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DNA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。用</w:t>
      </w:r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上述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培养基稀释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转染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试剂。每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1 </w:t>
      </w:r>
      <w:proofErr w:type="spell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μg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需用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2-5 </w:t>
      </w:r>
      <w:proofErr w:type="spell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μL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转染试剂。一边轻轻涡旋装有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DNA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溶液的试管，一边将稀释的转染试剂滴加至试管中（请勿颠倒添加顺序）。充分混匀后，室温静置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10~25 min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以形成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DNA-</w:t>
      </w:r>
      <w:r w:rsid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复合物。当溶液体积较大时，请用圆底聚丙烯管，例如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5 mL /14 mL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离心管。</w:t>
      </w:r>
    </w:p>
    <w:p w14:paraId="5C134AAF" w14:textId="73B06B5E" w:rsidR="00D5104A" w:rsidRPr="00D5104A" w:rsidRDefault="00D5104A" w:rsidP="003E1462">
      <w:pPr>
        <w:widowControl/>
        <w:shd w:val="clear" w:color="auto" w:fill="FFFFFF"/>
        <w:spacing w:line="320" w:lineRule="exact"/>
        <w:ind w:left="270" w:hangingChars="150" w:hanging="27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三．转染细胞，直接向每个孔中加入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DNA-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复合物并轻轻涡旋培养板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/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培养皿。在无血清条件下转染时，去除生长培养基，替换成无血清培养基，然后滴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DNA-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复合物。转染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3 h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后，添加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1/2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体积的包含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30%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血清的生长培养基。</w:t>
      </w:r>
    </w:p>
    <w:p w14:paraId="6B24F4E4" w14:textId="5EB758C8" w:rsidR="00D5104A" w:rsidRPr="00D5104A" w:rsidRDefault="00D5104A" w:rsidP="003E1462">
      <w:pPr>
        <w:widowControl/>
        <w:shd w:val="clear" w:color="auto" w:fill="FFFFFF"/>
        <w:spacing w:line="32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四．孵育细胞和分析结果：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CO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bscript"/>
        </w:rPr>
        <w:t>2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培养箱中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37</w:t>
      </w:r>
      <w:r w:rsidRPr="00D5104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℃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下孵育细胞至可以分析检测。转染后最快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7 h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即可检测到转入基因的表达。</w:t>
      </w:r>
    </w:p>
    <w:p w14:paraId="03D3AD18" w14:textId="209A68E8" w:rsidR="00D5104A" w:rsidRPr="00D5104A" w:rsidRDefault="00D5104A" w:rsidP="003E1462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五．转染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24 h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后，将细胞传代至新鲜的生长培养基中（将细胞稀释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10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倍以上），在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CO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bscript"/>
        </w:rPr>
        <w:t>2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培养箱中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37</w:t>
      </w:r>
      <w:r w:rsidRPr="00D5104A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℃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孵育过夜。第二天加入与转染抗性基因相匹配的筛选药物。约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1~2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周可筛选到耐药性克隆，在这期间需经常更换含筛选药物的生长培养基。</w:t>
      </w:r>
    </w:p>
    <w:p w14:paraId="72DCD495" w14:textId="13C2B257" w:rsidR="00D5104A" w:rsidRPr="00D5104A" w:rsidRDefault="00D5104A" w:rsidP="00951A94">
      <w:pPr>
        <w:pStyle w:val="Default"/>
        <w:spacing w:beforeLines="50" w:before="156" w:line="320" w:lineRule="exact"/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</w:pPr>
      <w:r w:rsidRPr="00D5104A"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  <w:t>特别提醒</w:t>
      </w:r>
    </w:p>
    <w:p w14:paraId="1CD45E7A" w14:textId="3AD5DBF4" w:rsidR="00D5104A" w:rsidRPr="00D5104A" w:rsidRDefault="00D5104A" w:rsidP="003E1462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proofErr w:type="gram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一</w:t>
      </w:r>
      <w:proofErr w:type="gram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．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对于某些类型的细胞如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HEK-293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HEK293T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、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NIH/3T3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和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COS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细胞，在转染前两天铺板可显著提高转入基因的表达水平。如果选择转染前两天铺板，可适当降低铺板密度，以确保转染时细胞的汇合度仍为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70~80%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。</w:t>
      </w:r>
    </w:p>
    <w:p w14:paraId="1A393C06" w14:textId="77777777" w:rsidR="00D5104A" w:rsidRPr="00D5104A" w:rsidRDefault="00D5104A" w:rsidP="003E1462">
      <w:pPr>
        <w:widowControl/>
        <w:shd w:val="clear" w:color="auto" w:fill="FFFFFF"/>
        <w:spacing w:line="32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lastRenderedPageBreak/>
        <w:t>二．对于接触抑制敏感的细胞，可适当降低铺板密度。</w:t>
      </w:r>
    </w:p>
    <w:p w14:paraId="20C07385" w14:textId="1E3AAA29" w:rsidR="00D5104A" w:rsidRPr="00D5104A" w:rsidRDefault="00D5104A" w:rsidP="003E1462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三．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即使在有蛋白（如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10%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的血清）存在的情况下，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DNA-</w:t>
      </w:r>
      <w:r w:rsid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复合物仍能转染细胞，但是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DNA-</w:t>
      </w:r>
      <w:r w:rsid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复合物必须在无蛋白存在的条件下形成。我们推荐使用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Opti-MEM I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perscript"/>
        </w:rPr>
        <w:t>TM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培养基以达到最佳转染效率。其他的无蛋白培养基则需测试与</w:t>
      </w:r>
      <w:proofErr w:type="spellStart"/>
      <w:r w:rsidR="003E1462"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M</w:t>
      </w:r>
      <w:r w:rsidR="003E1462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esPoly</w:t>
      </w:r>
      <w:r w:rsidR="003E1462" w:rsidRPr="003E1462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perscript"/>
        </w:rPr>
        <w:t>TM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转染试剂的兼容性。</w:t>
      </w:r>
    </w:p>
    <w:p w14:paraId="121C77C8" w14:textId="41F65EC2" w:rsidR="00D5104A" w:rsidRPr="00D5104A" w:rsidRDefault="00D5104A" w:rsidP="003E1462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四．对大多数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种类的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细胞而言，每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1ug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使用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3.0ul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proofErr w:type="spellStart"/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MesPoly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  <w:vertAlign w:val="superscript"/>
        </w:rPr>
        <w:t>TM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transfection reagent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转染试剂都能获得较高转染效率。使用者也可尝试每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 1 </w:t>
      </w:r>
      <w:proofErr w:type="spell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ugDNA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使用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 1~4 ul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体积转染试剂进行优化。</w:t>
      </w:r>
    </w:p>
    <w:p w14:paraId="25BA0666" w14:textId="376F6046" w:rsidR="00036E40" w:rsidRPr="003E1462" w:rsidRDefault="003E1462" w:rsidP="00951A94">
      <w:pPr>
        <w:pStyle w:val="Default"/>
        <w:spacing w:beforeLines="50" w:before="156" w:line="400" w:lineRule="exact"/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</w:pPr>
      <w:r w:rsidRPr="003E1462"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  <w:t>参考用量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424"/>
        <w:gridCol w:w="1401"/>
        <w:gridCol w:w="1259"/>
        <w:gridCol w:w="1731"/>
        <w:gridCol w:w="1832"/>
      </w:tblGrid>
      <w:tr w:rsidR="003E1462" w:rsidRPr="003E1462" w14:paraId="6409283A" w14:textId="77777777" w:rsidTr="003E1462">
        <w:trPr>
          <w:trHeight w:hRule="exact" w:val="454"/>
        </w:trPr>
        <w:tc>
          <w:tcPr>
            <w:tcW w:w="2587" w:type="dxa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98160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细胞培养容器</w:t>
            </w:r>
          </w:p>
        </w:tc>
        <w:tc>
          <w:tcPr>
            <w:tcW w:w="1424" w:type="dxa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4FDB1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表面积</w:t>
            </w:r>
          </w:p>
        </w:tc>
        <w:tc>
          <w:tcPr>
            <w:tcW w:w="1401" w:type="dxa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54385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稀释液体积</w:t>
            </w:r>
          </w:p>
        </w:tc>
        <w:tc>
          <w:tcPr>
            <w:tcW w:w="1259" w:type="dxa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C2572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DNA的量</w:t>
            </w:r>
          </w:p>
        </w:tc>
        <w:tc>
          <w:tcPr>
            <w:tcW w:w="1731" w:type="dxa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58856" w14:textId="3D3D47A6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M</w:t>
            </w:r>
            <w:r w:rsidRPr="003E1462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esPoly</w:t>
            </w:r>
            <w:r w:rsidRPr="003E1462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溶液的量</w:t>
            </w:r>
          </w:p>
        </w:tc>
        <w:tc>
          <w:tcPr>
            <w:tcW w:w="1832" w:type="dxa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C4A3F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培养基总量</w:t>
            </w:r>
          </w:p>
        </w:tc>
      </w:tr>
      <w:tr w:rsidR="003E1462" w:rsidRPr="003E1462" w14:paraId="72D1B746" w14:textId="77777777" w:rsidTr="003E1462">
        <w:trPr>
          <w:trHeight w:hRule="exact" w:val="454"/>
        </w:trPr>
        <w:tc>
          <w:tcPr>
            <w:tcW w:w="258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93500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96-well</w:t>
            </w:r>
          </w:p>
        </w:tc>
        <w:tc>
          <w:tcPr>
            <w:tcW w:w="14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32B79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0.3cm2</w:t>
            </w:r>
          </w:p>
        </w:tc>
        <w:tc>
          <w:tcPr>
            <w:tcW w:w="14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79F11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10uL</w:t>
            </w:r>
          </w:p>
        </w:tc>
        <w:tc>
          <w:tcPr>
            <w:tcW w:w="12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E2E69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0.1ug</w:t>
            </w:r>
          </w:p>
        </w:tc>
        <w:tc>
          <w:tcPr>
            <w:tcW w:w="173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746D0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0.1uL</w:t>
            </w:r>
          </w:p>
        </w:tc>
        <w:tc>
          <w:tcPr>
            <w:tcW w:w="18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47D25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100uL</w:t>
            </w:r>
          </w:p>
        </w:tc>
      </w:tr>
      <w:tr w:rsidR="003E1462" w:rsidRPr="003E1462" w14:paraId="7A2005E0" w14:textId="77777777" w:rsidTr="003E1462">
        <w:trPr>
          <w:trHeight w:hRule="exact" w:val="454"/>
        </w:trPr>
        <w:tc>
          <w:tcPr>
            <w:tcW w:w="258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0F988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48-well</w:t>
            </w:r>
          </w:p>
        </w:tc>
        <w:tc>
          <w:tcPr>
            <w:tcW w:w="14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BA95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0.7cm2</w:t>
            </w:r>
          </w:p>
        </w:tc>
        <w:tc>
          <w:tcPr>
            <w:tcW w:w="14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FE0C9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20uL</w:t>
            </w:r>
          </w:p>
        </w:tc>
        <w:tc>
          <w:tcPr>
            <w:tcW w:w="12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F6632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0.2ug</w:t>
            </w:r>
          </w:p>
        </w:tc>
        <w:tc>
          <w:tcPr>
            <w:tcW w:w="173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06AA6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0.3uL</w:t>
            </w:r>
          </w:p>
        </w:tc>
        <w:tc>
          <w:tcPr>
            <w:tcW w:w="18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83E04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200uL</w:t>
            </w:r>
          </w:p>
        </w:tc>
      </w:tr>
      <w:tr w:rsidR="003E1462" w:rsidRPr="003E1462" w14:paraId="3813C687" w14:textId="77777777" w:rsidTr="003E1462">
        <w:trPr>
          <w:trHeight w:hRule="exact" w:val="454"/>
        </w:trPr>
        <w:tc>
          <w:tcPr>
            <w:tcW w:w="258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E6E31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24-well</w:t>
            </w:r>
          </w:p>
        </w:tc>
        <w:tc>
          <w:tcPr>
            <w:tcW w:w="14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6258B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1.9cm2</w:t>
            </w:r>
          </w:p>
        </w:tc>
        <w:tc>
          <w:tcPr>
            <w:tcW w:w="14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B13DF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50uL</w:t>
            </w:r>
          </w:p>
        </w:tc>
        <w:tc>
          <w:tcPr>
            <w:tcW w:w="12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62BB4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0.5ug</w:t>
            </w:r>
          </w:p>
        </w:tc>
        <w:tc>
          <w:tcPr>
            <w:tcW w:w="173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75C20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1uL</w:t>
            </w:r>
          </w:p>
        </w:tc>
        <w:tc>
          <w:tcPr>
            <w:tcW w:w="18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61942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500uL</w:t>
            </w:r>
          </w:p>
        </w:tc>
      </w:tr>
      <w:tr w:rsidR="003E1462" w:rsidRPr="003E1462" w14:paraId="5D19EFE7" w14:textId="77777777" w:rsidTr="003E1462">
        <w:trPr>
          <w:trHeight w:hRule="exact" w:val="454"/>
        </w:trPr>
        <w:tc>
          <w:tcPr>
            <w:tcW w:w="258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402CE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12-well</w:t>
            </w:r>
          </w:p>
        </w:tc>
        <w:tc>
          <w:tcPr>
            <w:tcW w:w="14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C89E7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3.8cm2</w:t>
            </w:r>
          </w:p>
        </w:tc>
        <w:tc>
          <w:tcPr>
            <w:tcW w:w="14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3406D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50uL</w:t>
            </w:r>
          </w:p>
        </w:tc>
        <w:tc>
          <w:tcPr>
            <w:tcW w:w="12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B89CF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1ug</w:t>
            </w:r>
          </w:p>
        </w:tc>
        <w:tc>
          <w:tcPr>
            <w:tcW w:w="173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2BFD6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2uL</w:t>
            </w:r>
          </w:p>
        </w:tc>
        <w:tc>
          <w:tcPr>
            <w:tcW w:w="18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65579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1mL</w:t>
            </w:r>
          </w:p>
        </w:tc>
      </w:tr>
      <w:tr w:rsidR="003E1462" w:rsidRPr="003E1462" w14:paraId="44F8FDD7" w14:textId="77777777" w:rsidTr="003E1462">
        <w:trPr>
          <w:trHeight w:hRule="exact" w:val="454"/>
        </w:trPr>
        <w:tc>
          <w:tcPr>
            <w:tcW w:w="258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54EF4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6-well/35mmdish</w:t>
            </w:r>
          </w:p>
        </w:tc>
        <w:tc>
          <w:tcPr>
            <w:tcW w:w="14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2BEE9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10cm2</w:t>
            </w:r>
          </w:p>
        </w:tc>
        <w:tc>
          <w:tcPr>
            <w:tcW w:w="14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2A313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100uL</w:t>
            </w:r>
          </w:p>
        </w:tc>
        <w:tc>
          <w:tcPr>
            <w:tcW w:w="12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6CCBE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2ug</w:t>
            </w:r>
          </w:p>
        </w:tc>
        <w:tc>
          <w:tcPr>
            <w:tcW w:w="173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981BF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4uL</w:t>
            </w:r>
          </w:p>
        </w:tc>
        <w:tc>
          <w:tcPr>
            <w:tcW w:w="18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3455E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2mL</w:t>
            </w:r>
          </w:p>
        </w:tc>
      </w:tr>
      <w:tr w:rsidR="003E1462" w:rsidRPr="003E1462" w14:paraId="0C98F665" w14:textId="77777777" w:rsidTr="003E1462">
        <w:trPr>
          <w:trHeight w:hRule="exact" w:val="454"/>
        </w:trPr>
        <w:tc>
          <w:tcPr>
            <w:tcW w:w="258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F0104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60mm dish/T25flask</w:t>
            </w:r>
          </w:p>
        </w:tc>
        <w:tc>
          <w:tcPr>
            <w:tcW w:w="14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6BD1C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21cm2</w:t>
            </w:r>
          </w:p>
        </w:tc>
        <w:tc>
          <w:tcPr>
            <w:tcW w:w="14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1C006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200uL</w:t>
            </w:r>
          </w:p>
        </w:tc>
        <w:tc>
          <w:tcPr>
            <w:tcW w:w="12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092C0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4ug</w:t>
            </w:r>
          </w:p>
        </w:tc>
        <w:tc>
          <w:tcPr>
            <w:tcW w:w="173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AB129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8uL</w:t>
            </w:r>
          </w:p>
        </w:tc>
        <w:tc>
          <w:tcPr>
            <w:tcW w:w="18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B2A78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4mL</w:t>
            </w:r>
          </w:p>
        </w:tc>
      </w:tr>
      <w:tr w:rsidR="003E1462" w:rsidRPr="003E1462" w14:paraId="5485C7A0" w14:textId="77777777" w:rsidTr="003E1462">
        <w:trPr>
          <w:trHeight w:hRule="exact" w:val="454"/>
        </w:trPr>
        <w:tc>
          <w:tcPr>
            <w:tcW w:w="258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12807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100mmdish/T75flask</w:t>
            </w:r>
          </w:p>
        </w:tc>
        <w:tc>
          <w:tcPr>
            <w:tcW w:w="14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97C3E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58cm2</w:t>
            </w:r>
          </w:p>
        </w:tc>
        <w:tc>
          <w:tcPr>
            <w:tcW w:w="14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03F5A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500uL</w:t>
            </w:r>
          </w:p>
        </w:tc>
        <w:tc>
          <w:tcPr>
            <w:tcW w:w="12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B17AB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10ug</w:t>
            </w:r>
          </w:p>
        </w:tc>
        <w:tc>
          <w:tcPr>
            <w:tcW w:w="173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7C8E5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20uL</w:t>
            </w:r>
          </w:p>
        </w:tc>
        <w:tc>
          <w:tcPr>
            <w:tcW w:w="18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2E7DC" w14:textId="77777777" w:rsidR="003E1462" w:rsidRPr="003E1462" w:rsidRDefault="003E1462" w:rsidP="003E1462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E1462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</w:tr>
    </w:tbl>
    <w:p w14:paraId="07EAE623" w14:textId="77777777" w:rsidR="003E1462" w:rsidRPr="00D5104A" w:rsidRDefault="003E1462" w:rsidP="003E1462">
      <w:pPr>
        <w:pStyle w:val="Default"/>
        <w:spacing w:beforeLines="50" w:before="156" w:line="320" w:lineRule="exact"/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</w:pPr>
      <w:r w:rsidRPr="00D5104A"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  <w:t>质量控制</w:t>
      </w:r>
    </w:p>
    <w:p w14:paraId="598B83C9" w14:textId="77777777" w:rsidR="003E1462" w:rsidRPr="00D5104A" w:rsidRDefault="003E1462" w:rsidP="003E1462">
      <w:pPr>
        <w:widowControl/>
        <w:shd w:val="clear" w:color="auto" w:fill="FFFFFF"/>
        <w:spacing w:line="320" w:lineRule="exact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每批次</w:t>
      </w:r>
      <w:r>
        <w:rPr>
          <w:rFonts w:ascii="Arial" w:eastAsia="微软雅黑" w:hAnsi="Arial" w:cs="Arial" w:hint="eastAsia"/>
          <w:color w:val="000000" w:themeColor="text1"/>
          <w:kern w:val="0"/>
          <w:sz w:val="18"/>
          <w:szCs w:val="18"/>
        </w:rPr>
        <w:t>M</w:t>
      </w:r>
      <w:r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esPoly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转染试剂均经过转染测试。将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eGFP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表达质粒用转染试剂转入亚融合状态的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293T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细胞，转染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16 h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后，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超过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95%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的细胞表达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eGFP</w:t>
      </w:r>
      <w:proofErr w:type="spell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。</w:t>
      </w:r>
    </w:p>
    <w:p w14:paraId="0F946284" w14:textId="3199D35A" w:rsidR="00036E40" w:rsidRPr="003E1462" w:rsidRDefault="00951A94" w:rsidP="003E1462">
      <w:pPr>
        <w:pStyle w:val="Default"/>
        <w:spacing w:beforeLines="50" w:before="156" w:line="400" w:lineRule="exact"/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eastAsia="微软雅黑" w:hint="eastAsia"/>
          <w:b/>
          <w:bCs/>
          <w:noProof/>
          <w:color w:val="000000" w:themeColor="text1"/>
          <w:sz w:val="21"/>
          <w:szCs w:val="21"/>
          <w:shd w:val="clear" w:color="auto" w:fill="FFFFFF"/>
        </w:rPr>
        <w:drawing>
          <wp:anchor distT="0" distB="0" distL="114300" distR="114300" simplePos="0" relativeHeight="251660800" behindDoc="0" locked="0" layoutInCell="1" allowOverlap="1" wp14:anchorId="6CE5FAD8" wp14:editId="3EEE8933">
            <wp:simplePos x="0" y="0"/>
            <wp:positionH relativeFrom="column">
              <wp:posOffset>1374140</wp:posOffset>
            </wp:positionH>
            <wp:positionV relativeFrom="paragraph">
              <wp:posOffset>182880</wp:posOffset>
            </wp:positionV>
            <wp:extent cx="2880360" cy="1438656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462" w:rsidRPr="003E1462"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  <w:t>转染案例：</w:t>
      </w:r>
    </w:p>
    <w:p w14:paraId="64AAA203" w14:textId="01163FF6" w:rsidR="003E1462" w:rsidRDefault="003E1462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4DA05EF0" w14:textId="7C567BD0" w:rsidR="003E1462" w:rsidRDefault="003E1462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1CD8C6B0" w14:textId="434B059C" w:rsidR="003E1462" w:rsidRDefault="003E1462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302309F0" w14:textId="4B4114FA" w:rsidR="003E1462" w:rsidRDefault="003E1462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1ACE9E07" w14:textId="039138E8" w:rsidR="003E1462" w:rsidRDefault="003E1462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7540BEE5" w14:textId="77777777" w:rsidR="003E1462" w:rsidRDefault="003E1462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14:paraId="7BF36471" w14:textId="77777777" w:rsidR="003E1462" w:rsidRPr="00D5104A" w:rsidRDefault="003E1462" w:rsidP="003E1462">
      <w:pPr>
        <w:pStyle w:val="Default"/>
        <w:spacing w:beforeLines="50" w:before="156" w:line="320" w:lineRule="exact"/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</w:pPr>
      <w:r w:rsidRPr="00D5104A"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  <w:t>注意事项</w:t>
      </w:r>
    </w:p>
    <w:p w14:paraId="43613CBC" w14:textId="77777777" w:rsidR="003E1462" w:rsidRPr="00D5104A" w:rsidRDefault="003E1462" w:rsidP="00951A94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proofErr w:type="gramStart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一</w:t>
      </w:r>
      <w:proofErr w:type="gramEnd"/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．质粒质量，请务必使用高质量转染级无内毒素质粒。通过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260 nm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光吸收测定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浓度，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260 nm / 280 nm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比值确定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DNA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纯度（比值应该在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 xml:space="preserve"> 1.8~2.0 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的范围之内）。如有可能，请通过琼脂糖凝胶电泳检测质粒的完整性。</w:t>
      </w:r>
    </w:p>
    <w:p w14:paraId="0463D18A" w14:textId="77777777" w:rsidR="003E1462" w:rsidRPr="00D5104A" w:rsidRDefault="003E1462" w:rsidP="00951A94">
      <w:pPr>
        <w:widowControl/>
        <w:shd w:val="clear" w:color="auto" w:fill="FFFFFF"/>
        <w:spacing w:line="320" w:lineRule="exact"/>
        <w:ind w:left="360" w:hangingChars="200" w:hanging="360"/>
        <w:jc w:val="left"/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</w:pP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二．细胞条件，使用适当保存和经常传代的健康细胞。确保培养基没有被细菌、真菌或支原体污染。如果细胞是近期复苏的液氮冻存细胞，请在转染前至少传代两次。建议使用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GIBCO</w:t>
      </w:r>
      <w:r w:rsidRPr="00D5104A">
        <w:rPr>
          <w:rFonts w:ascii="Arial" w:eastAsia="微软雅黑" w:hAnsi="Arial" w:cs="Arial"/>
          <w:color w:val="000000" w:themeColor="text1"/>
          <w:kern w:val="0"/>
          <w:sz w:val="18"/>
          <w:szCs w:val="18"/>
        </w:rPr>
        <w:t>公司血清培养细胞。</w:t>
      </w:r>
    </w:p>
    <w:p w14:paraId="5B2029E0" w14:textId="4C07AE1D" w:rsidR="003E1462" w:rsidRDefault="003E1462" w:rsidP="003E1462">
      <w:pPr>
        <w:pStyle w:val="Default"/>
        <w:spacing w:beforeLines="50" w:before="156" w:line="400" w:lineRule="exact"/>
        <w:rPr>
          <w:rFonts w:eastAsia="微软雅黑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  <w:t>保存条件</w:t>
      </w:r>
    </w:p>
    <w:p w14:paraId="5DAF6753" w14:textId="53477C8B" w:rsidR="003E1462" w:rsidRDefault="003E1462" w:rsidP="003E1462">
      <w:pPr>
        <w:pStyle w:val="Default"/>
        <w:spacing w:line="400" w:lineRule="exact"/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</w:pPr>
      <w:r w:rsidRPr="003E1462">
        <w:rPr>
          <w:rFonts w:eastAsia="微软雅黑" w:hint="eastAsia"/>
          <w:color w:val="000000" w:themeColor="text1"/>
          <w:sz w:val="18"/>
          <w:szCs w:val="18"/>
        </w:rPr>
        <w:t>2</w:t>
      </w:r>
      <w:r w:rsidRPr="003E1462">
        <w:rPr>
          <w:rFonts w:eastAsia="微软雅黑"/>
          <w:color w:val="000000" w:themeColor="text1"/>
          <w:sz w:val="18"/>
          <w:szCs w:val="18"/>
        </w:rPr>
        <w:t>-8</w:t>
      </w:r>
      <w:r w:rsidRPr="003E1462">
        <w:rPr>
          <w:rFonts w:eastAsia="微软雅黑"/>
          <w:color w:val="000000" w:themeColor="text1"/>
          <w:sz w:val="18"/>
          <w:szCs w:val="18"/>
        </w:rPr>
        <w:t>° C</w:t>
      </w:r>
    </w:p>
    <w:p w14:paraId="36E1DD44" w14:textId="50940F6A" w:rsidR="003E1462" w:rsidRPr="003E1462" w:rsidRDefault="003E1462" w:rsidP="003E1462">
      <w:pPr>
        <w:pStyle w:val="Default"/>
        <w:spacing w:beforeLines="50" w:before="156" w:line="400" w:lineRule="exact"/>
      </w:pPr>
      <w:r w:rsidRPr="003E1462">
        <w:rPr>
          <w:rFonts w:eastAsia="微软雅黑" w:hint="eastAsia"/>
          <w:b/>
          <w:bCs/>
          <w:color w:val="000000" w:themeColor="text1"/>
          <w:sz w:val="21"/>
          <w:szCs w:val="21"/>
          <w:shd w:val="clear" w:color="auto" w:fill="FFFFFF"/>
        </w:rPr>
        <w:t>参考文献</w:t>
      </w:r>
      <w:r w:rsidRPr="003E1462">
        <w:t xml:space="preserve"> </w:t>
      </w:r>
    </w:p>
    <w:p w14:paraId="11F2454F" w14:textId="77777777" w:rsidR="003E1462" w:rsidRPr="003E1462" w:rsidRDefault="003E1462" w:rsidP="003E1462">
      <w:pPr>
        <w:autoSpaceDE w:val="0"/>
        <w:autoSpaceDN w:val="0"/>
        <w:adjustRightInd w:val="0"/>
        <w:ind w:left="180" w:hangingChars="100" w:hanging="18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E1462">
        <w:rPr>
          <w:rFonts w:ascii="Arial" w:hAnsi="Arial" w:cs="Arial"/>
          <w:color w:val="000000"/>
          <w:kern w:val="0"/>
          <w:sz w:val="18"/>
          <w:szCs w:val="18"/>
        </w:rPr>
        <w:t xml:space="preserve">1. </w:t>
      </w:r>
      <w:proofErr w:type="spellStart"/>
      <w:r w:rsidRPr="003E1462">
        <w:rPr>
          <w:rFonts w:ascii="Arial" w:hAnsi="Arial" w:cs="Arial"/>
          <w:color w:val="000000"/>
          <w:kern w:val="0"/>
          <w:sz w:val="18"/>
          <w:szCs w:val="18"/>
        </w:rPr>
        <w:t>Polyethylenimine</w:t>
      </w:r>
      <w:proofErr w:type="spellEnd"/>
      <w:r w:rsidRPr="003E1462">
        <w:rPr>
          <w:rFonts w:ascii="Arial" w:hAnsi="Arial" w:cs="Arial"/>
          <w:color w:val="000000"/>
          <w:kern w:val="0"/>
          <w:sz w:val="18"/>
          <w:szCs w:val="18"/>
        </w:rPr>
        <w:t xml:space="preserve"> (PEI), linear (1 mg/mL). Cold Spring Harbor Protocols 2008, pdb.rec11323– pdb.rec11323 (2008). doi:10.1101/pdb.rec11323 </w:t>
      </w:r>
    </w:p>
    <w:p w14:paraId="07620728" w14:textId="77777777" w:rsidR="003E1462" w:rsidRDefault="003E1462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4A9414FB" w14:textId="37F32F15" w:rsidR="0041783B" w:rsidRPr="003E1462" w:rsidRDefault="0041783B" w:rsidP="0041783B">
      <w:pPr>
        <w:pStyle w:val="Default"/>
        <w:spacing w:line="320" w:lineRule="exact"/>
        <w:jc w:val="center"/>
        <w:rPr>
          <w:b/>
          <w:bCs/>
          <w:iCs/>
          <w:sz w:val="21"/>
          <w:szCs w:val="21"/>
        </w:rPr>
      </w:pPr>
      <w:r w:rsidRPr="003E1462">
        <w:rPr>
          <w:b/>
          <w:iCs/>
          <w:sz w:val="21"/>
          <w:szCs w:val="21"/>
          <w:shd w:val="clear" w:color="auto" w:fill="FFFFFF"/>
        </w:rPr>
        <w:t xml:space="preserve">For Research Use Only. Not </w:t>
      </w:r>
      <w:proofErr w:type="gramStart"/>
      <w:r w:rsidRPr="003E1462">
        <w:rPr>
          <w:b/>
          <w:iCs/>
          <w:sz w:val="21"/>
          <w:szCs w:val="21"/>
          <w:shd w:val="clear" w:color="auto" w:fill="FFFFFF"/>
        </w:rPr>
        <w:t>For</w:t>
      </w:r>
      <w:proofErr w:type="gramEnd"/>
      <w:r w:rsidRPr="003E1462">
        <w:rPr>
          <w:b/>
          <w:iCs/>
          <w:sz w:val="21"/>
          <w:szCs w:val="21"/>
          <w:shd w:val="clear" w:color="auto" w:fill="FFFFFF"/>
        </w:rPr>
        <w:t xml:space="preserve"> Use In Diagnostic Procedures.</w:t>
      </w:r>
    </w:p>
    <w:sectPr w:rsidR="0041783B" w:rsidRPr="003E1462" w:rsidSect="003E1462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FCD4" w14:textId="77777777" w:rsidR="00576144" w:rsidRDefault="00576144" w:rsidP="0065435B">
      <w:r>
        <w:separator/>
      </w:r>
    </w:p>
  </w:endnote>
  <w:endnote w:type="continuationSeparator" w:id="0">
    <w:p w14:paraId="7F93767C" w14:textId="77777777" w:rsidR="00576144" w:rsidRDefault="00576144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49BA" w14:textId="77777777" w:rsidR="009C516F" w:rsidRPr="009C516F" w:rsidRDefault="009C516F">
    <w:pPr>
      <w:pStyle w:val="a5"/>
      <w:jc w:val="right"/>
    </w:pPr>
  </w:p>
  <w:p w14:paraId="53EA2EF9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5A18EE75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D08F" w14:textId="77777777" w:rsidR="00576144" w:rsidRDefault="00576144" w:rsidP="0065435B">
      <w:r>
        <w:separator/>
      </w:r>
    </w:p>
  </w:footnote>
  <w:footnote w:type="continuationSeparator" w:id="0">
    <w:p w14:paraId="57C48A1C" w14:textId="77777777" w:rsidR="00576144" w:rsidRDefault="00576144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98A"/>
    <w:multiLevelType w:val="hybridMultilevel"/>
    <w:tmpl w:val="17F0A6F8"/>
    <w:lvl w:ilvl="0" w:tplc="24CE4792">
      <w:start w:val="4"/>
      <w:numFmt w:val="bullet"/>
      <w:lvlText w:val="※"/>
      <w:lvlJc w:val="left"/>
      <w:pPr>
        <w:ind w:left="360" w:hanging="360"/>
      </w:pPr>
      <w:rPr>
        <w:rFonts w:ascii="微软雅黑" w:eastAsia="微软雅黑" w:hAnsi="微软雅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91B68"/>
    <w:multiLevelType w:val="multilevel"/>
    <w:tmpl w:val="1CFA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E354C"/>
    <w:multiLevelType w:val="multilevel"/>
    <w:tmpl w:val="A91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E426C7"/>
    <w:multiLevelType w:val="multilevel"/>
    <w:tmpl w:val="D9A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F246B0"/>
    <w:multiLevelType w:val="multilevel"/>
    <w:tmpl w:val="1A9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F5571"/>
    <w:multiLevelType w:val="multilevel"/>
    <w:tmpl w:val="4D9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15AD"/>
    <w:rsid w:val="00036E40"/>
    <w:rsid w:val="00071EFE"/>
    <w:rsid w:val="0009712E"/>
    <w:rsid w:val="000A4EB5"/>
    <w:rsid w:val="000A61A3"/>
    <w:rsid w:val="000A7A43"/>
    <w:rsid w:val="000B7599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0290"/>
    <w:rsid w:val="002D5E46"/>
    <w:rsid w:val="00311F60"/>
    <w:rsid w:val="00371A2F"/>
    <w:rsid w:val="0038799B"/>
    <w:rsid w:val="003A58DA"/>
    <w:rsid w:val="003E1462"/>
    <w:rsid w:val="00404D1E"/>
    <w:rsid w:val="004169FA"/>
    <w:rsid w:val="0041783B"/>
    <w:rsid w:val="00460E9B"/>
    <w:rsid w:val="00474083"/>
    <w:rsid w:val="00475678"/>
    <w:rsid w:val="0049104E"/>
    <w:rsid w:val="0049205D"/>
    <w:rsid w:val="004D158E"/>
    <w:rsid w:val="00523F89"/>
    <w:rsid w:val="00551F26"/>
    <w:rsid w:val="00552AD6"/>
    <w:rsid w:val="00565CE3"/>
    <w:rsid w:val="00576144"/>
    <w:rsid w:val="005C71DB"/>
    <w:rsid w:val="005C746D"/>
    <w:rsid w:val="005D4CF8"/>
    <w:rsid w:val="005E2D9E"/>
    <w:rsid w:val="005F08A2"/>
    <w:rsid w:val="005F5013"/>
    <w:rsid w:val="00600E6A"/>
    <w:rsid w:val="00623478"/>
    <w:rsid w:val="00643D37"/>
    <w:rsid w:val="0065435B"/>
    <w:rsid w:val="00667AB6"/>
    <w:rsid w:val="00690FB9"/>
    <w:rsid w:val="00695F96"/>
    <w:rsid w:val="006A0154"/>
    <w:rsid w:val="006D2670"/>
    <w:rsid w:val="006E5715"/>
    <w:rsid w:val="0072331A"/>
    <w:rsid w:val="0073118B"/>
    <w:rsid w:val="00754FC0"/>
    <w:rsid w:val="00761776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1A94"/>
    <w:rsid w:val="00952D83"/>
    <w:rsid w:val="00960F00"/>
    <w:rsid w:val="0096614E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859E0"/>
    <w:rsid w:val="00A9007A"/>
    <w:rsid w:val="00AD05BD"/>
    <w:rsid w:val="00AD1737"/>
    <w:rsid w:val="00B25625"/>
    <w:rsid w:val="00BA21D5"/>
    <w:rsid w:val="00BC63B3"/>
    <w:rsid w:val="00C37C0A"/>
    <w:rsid w:val="00C47EBC"/>
    <w:rsid w:val="00C51F22"/>
    <w:rsid w:val="00C6161A"/>
    <w:rsid w:val="00C63682"/>
    <w:rsid w:val="00CA656E"/>
    <w:rsid w:val="00CD6CD3"/>
    <w:rsid w:val="00D45EF4"/>
    <w:rsid w:val="00D5104A"/>
    <w:rsid w:val="00D77AE7"/>
    <w:rsid w:val="00D973F3"/>
    <w:rsid w:val="00DB7A57"/>
    <w:rsid w:val="00DE2BC7"/>
    <w:rsid w:val="00DF102E"/>
    <w:rsid w:val="00DF1928"/>
    <w:rsid w:val="00DF1E19"/>
    <w:rsid w:val="00DF27D0"/>
    <w:rsid w:val="00E76797"/>
    <w:rsid w:val="00F073D4"/>
    <w:rsid w:val="00F205CE"/>
    <w:rsid w:val="00F4290A"/>
    <w:rsid w:val="00F921AF"/>
    <w:rsid w:val="00F944FB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AEFA4"/>
  <w15:docId w15:val="{5470A8F7-8C5D-4309-B9D6-84161472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36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unhideWhenUsed/>
    <w:rsid w:val="005E2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C636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learfix">
    <w:name w:val="clearfix"/>
    <w:basedOn w:val="a"/>
    <w:rsid w:val="00460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37</cp:revision>
  <cp:lastPrinted>2020-02-27T02:02:00Z</cp:lastPrinted>
  <dcterms:created xsi:type="dcterms:W3CDTF">2014-09-10T07:38:00Z</dcterms:created>
  <dcterms:modified xsi:type="dcterms:W3CDTF">2020-09-14T01:40:00Z</dcterms:modified>
</cp:coreProperties>
</file>