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374BF92F" w:rsidR="00290347" w:rsidRDefault="00FC1ACD" w:rsidP="00290347">
      <w:pPr>
        <w:spacing w:afterLines="50" w:after="156"/>
      </w:pPr>
      <w:r w:rsidRPr="00F0057A">
        <w:rPr>
          <w:rFonts w:ascii="Calibri" w:hAnsi="Calibri" w:cs="Calibri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 w:rsidRPr="00F0057A">
        <w:rPr>
          <w:rFonts w:ascii="Calibri" w:eastAsia="Meiryo" w:hAnsi="Calibri" w:cs="Calibr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F0057A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F0057A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For</w:t>
      </w:r>
      <w:proofErr w:type="gramEnd"/>
      <w:r w:rsidR="00290347" w:rsidRPr="00F0057A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96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6713D857" w14:textId="06FB0EDD" w:rsidR="00D43E94" w:rsidRPr="00D43E94" w:rsidRDefault="00F0057A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脂多糖</w:t>
            </w:r>
            <w:r w:rsidR="00D43E94" w:rsidRPr="00D43E94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</w:p>
        </w:tc>
      </w:tr>
    </w:tbl>
    <w:p w14:paraId="09E1E377" w14:textId="04F68832" w:rsidR="00D43E94" w:rsidRPr="00F0057A" w:rsidRDefault="00F0057A" w:rsidP="00D43E94">
      <w:pPr>
        <w:autoSpaceDE w:val="0"/>
        <w:autoSpaceDN w:val="0"/>
        <w:adjustRightInd w:val="0"/>
        <w:jc w:val="left"/>
        <w:rPr>
          <w:rFonts w:ascii="Calibri" w:eastAsia="微软雅黑" w:hAnsi="Calibri" w:cs="Calibri"/>
          <w:color w:val="0070C0"/>
          <w:kern w:val="0"/>
          <w:sz w:val="32"/>
          <w:szCs w:val="32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35pt;margin-top:26.9pt;width:540pt;height:.05pt;flip:y;z-index:251665408;mso-position-horizontal-relative:text;mso-position-vertical-relative:text" o:connectortype="straight" strokecolor="#205867 [1608]" strokeweight="1.5pt"/>
        </w:pict>
      </w:r>
      <w:r w:rsidRPr="00F0057A">
        <w:rPr>
          <w:rFonts w:ascii="Calibri" w:eastAsia="Meiryo" w:hAnsi="Calibri" w:cs="Calibri"/>
          <w:b/>
          <w:color w:val="000000" w:themeColor="text1"/>
          <w:kern w:val="0"/>
          <w:sz w:val="32"/>
          <w:szCs w:val="32"/>
        </w:rPr>
        <w:t>Lipopolysaccharides (LPS)</w:t>
      </w:r>
    </w:p>
    <w:p w14:paraId="45A02E36" w14:textId="2758F21C" w:rsidR="00F0057A" w:rsidRPr="00F0057A" w:rsidRDefault="00F0057A" w:rsidP="00F0057A">
      <w:pPr>
        <w:pStyle w:val="Default"/>
        <w:spacing w:beforeLines="50" w:before="156" w:line="280" w:lineRule="exact"/>
        <w:rPr>
          <w:rFonts w:ascii="Calibri" w:eastAsia="Meiryo" w:hAnsi="Calibri" w:cs="Calibri"/>
          <w:b/>
          <w:sz w:val="21"/>
          <w:szCs w:val="21"/>
          <w:shd w:val="clear" w:color="auto" w:fill="FFFFFF"/>
        </w:rPr>
      </w:pPr>
      <w:proofErr w:type="spellStart"/>
      <w:r w:rsidRPr="00F0057A">
        <w:rPr>
          <w:rFonts w:ascii="Calibri" w:eastAsia="Meiryo" w:hAnsi="Calibri" w:cs="Calibri"/>
          <w:b/>
          <w:sz w:val="21"/>
          <w:szCs w:val="21"/>
          <w:shd w:val="clear" w:color="auto" w:fill="FFFFFF"/>
        </w:rPr>
        <w:t>Cat.No</w:t>
      </w:r>
      <w:proofErr w:type="spellEnd"/>
      <w:r w:rsidRPr="00F0057A">
        <w:rPr>
          <w:rFonts w:ascii="Calibri" w:eastAsia="Meiryo" w:hAnsi="Calibri" w:cs="Calibri"/>
          <w:b/>
          <w:sz w:val="21"/>
          <w:szCs w:val="21"/>
          <w:shd w:val="clear" w:color="auto" w:fill="FFFFFF"/>
        </w:rPr>
        <w:t>. MG3356</w:t>
      </w:r>
      <w:r>
        <w:rPr>
          <w:rFonts w:ascii="Calibri" w:hAnsi="Calibri" w:cs="Calibri" w:hint="eastAsia"/>
          <w:b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b/>
          <w:sz w:val="21"/>
          <w:szCs w:val="21"/>
          <w:shd w:val="clear" w:color="auto" w:fill="FFFFFF"/>
        </w:rPr>
        <w:t xml:space="preserve">       </w:t>
      </w:r>
      <w:r w:rsidRPr="005601E5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</w:t>
      </w:r>
      <w:proofErr w:type="gramStart"/>
      <w:r w:rsidRPr="005601E5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Size :</w:t>
      </w:r>
      <w:proofErr w:type="gramEnd"/>
      <w:r w:rsidRPr="005601E5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10mg </w:t>
      </w:r>
      <w:r w:rsidRPr="005601E5">
        <w:rPr>
          <w:rFonts w:asciiTheme="minorHAnsi" w:eastAsia="宋体" w:hAnsiTheme="minorHAnsi" w:cstheme="minorHAnsi"/>
          <w:b/>
          <w:sz w:val="32"/>
          <w:szCs w:val="32"/>
          <w:shd w:val="clear" w:color="auto" w:fill="FFFFFF"/>
        </w:rPr>
        <w:t>□</w:t>
      </w:r>
      <w:r w:rsidRPr="005601E5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  <w:r w:rsidRPr="005601E5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100mg </w:t>
      </w:r>
      <w:r w:rsidRPr="005601E5">
        <w:rPr>
          <w:rFonts w:asciiTheme="minorHAnsi" w:eastAsia="宋体" w:hAnsiTheme="minorHAnsi" w:cstheme="minorHAnsi"/>
          <w:b/>
          <w:sz w:val="32"/>
          <w:szCs w:val="32"/>
          <w:shd w:val="clear" w:color="auto" w:fill="FFFFFF"/>
        </w:rPr>
        <w:t>□</w:t>
      </w:r>
    </w:p>
    <w:p w14:paraId="654F0BEB" w14:textId="7492717F" w:rsidR="00F0057A" w:rsidRPr="00F0057A" w:rsidRDefault="00F0057A" w:rsidP="00F0057A">
      <w:pPr>
        <w:widowControl/>
        <w:shd w:val="clear" w:color="auto" w:fill="FFFFFF"/>
        <w:jc w:val="left"/>
        <w:rPr>
          <w:rFonts w:ascii="Calibri" w:eastAsia="宋体" w:hAnsi="Calibri" w:cs="Calibri"/>
          <w:color w:val="515151"/>
          <w:kern w:val="0"/>
          <w:szCs w:val="21"/>
        </w:rPr>
      </w:pPr>
      <w:proofErr w:type="gramStart"/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>Form :</w:t>
      </w:r>
      <w:proofErr w:type="gramEnd"/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> </w:t>
      </w:r>
      <w:r w:rsidRPr="00F0057A">
        <w:rPr>
          <w:rFonts w:ascii="Calibri" w:eastAsia="宋体" w:hAnsi="Calibri" w:cs="Calibri"/>
          <w:color w:val="000000"/>
          <w:kern w:val="0"/>
          <w:szCs w:val="21"/>
        </w:rPr>
        <w:t xml:space="preserve">lyophilized </w:t>
      </w:r>
      <w:proofErr w:type="spellStart"/>
      <w:r w:rsidRPr="00F0057A">
        <w:rPr>
          <w:rFonts w:ascii="Calibri" w:eastAsia="宋体" w:hAnsi="Calibri" w:cs="Calibri"/>
          <w:color w:val="000000"/>
          <w:kern w:val="0"/>
          <w:szCs w:val="21"/>
        </w:rPr>
        <w:t>powder,solid</w:t>
      </w:r>
      <w:proofErr w:type="spellEnd"/>
    </w:p>
    <w:p w14:paraId="248916BB" w14:textId="77777777" w:rsidR="00F0057A" w:rsidRPr="00F0057A" w:rsidRDefault="00F0057A" w:rsidP="00F0057A">
      <w:pPr>
        <w:widowControl/>
        <w:shd w:val="clear" w:color="auto" w:fill="FFFFFF"/>
        <w:jc w:val="left"/>
        <w:rPr>
          <w:rFonts w:ascii="Calibri" w:eastAsia="宋体" w:hAnsi="Calibri" w:cs="Calibri"/>
          <w:color w:val="515151"/>
          <w:kern w:val="0"/>
          <w:szCs w:val="21"/>
        </w:rPr>
      </w:pPr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 xml:space="preserve">Purified </w:t>
      </w:r>
      <w:proofErr w:type="gramStart"/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>by :</w:t>
      </w:r>
      <w:proofErr w:type="gramEnd"/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> </w:t>
      </w:r>
      <w:r w:rsidRPr="00F0057A">
        <w:rPr>
          <w:rFonts w:ascii="Calibri" w:eastAsia="宋体" w:hAnsi="Calibri" w:cs="Calibri"/>
          <w:color w:val="000000"/>
          <w:kern w:val="0"/>
          <w:szCs w:val="21"/>
        </w:rPr>
        <w:t>phenol extraction</w:t>
      </w:r>
    </w:p>
    <w:p w14:paraId="3A39CE0A" w14:textId="77777777" w:rsidR="00F0057A" w:rsidRPr="00F0057A" w:rsidRDefault="00F0057A" w:rsidP="00F0057A">
      <w:pPr>
        <w:widowControl/>
        <w:shd w:val="clear" w:color="auto" w:fill="FFFFFF"/>
        <w:jc w:val="left"/>
        <w:rPr>
          <w:rFonts w:ascii="Calibri" w:eastAsia="宋体" w:hAnsi="Calibri" w:cs="Calibri"/>
          <w:color w:val="515151"/>
          <w:kern w:val="0"/>
          <w:szCs w:val="21"/>
        </w:rPr>
      </w:pPr>
      <w:proofErr w:type="gramStart"/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>Impurities :</w:t>
      </w:r>
      <w:proofErr w:type="gramEnd"/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> </w:t>
      </w:r>
      <w:r w:rsidRPr="00F0057A">
        <w:rPr>
          <w:rFonts w:ascii="Calibri" w:eastAsia="宋体" w:hAnsi="Calibri" w:cs="Calibri"/>
          <w:color w:val="000000"/>
          <w:kern w:val="0"/>
          <w:szCs w:val="21"/>
        </w:rPr>
        <w:t>&lt;3% Protein (Lowry)</w:t>
      </w:r>
    </w:p>
    <w:p w14:paraId="56A221C2" w14:textId="77777777" w:rsidR="00F0057A" w:rsidRPr="00F0057A" w:rsidRDefault="00F0057A" w:rsidP="00F0057A">
      <w:pPr>
        <w:widowControl/>
        <w:shd w:val="clear" w:color="auto" w:fill="FFFFFF"/>
        <w:jc w:val="left"/>
        <w:rPr>
          <w:rFonts w:ascii="Calibri" w:eastAsia="宋体" w:hAnsi="Calibri" w:cs="Calibri"/>
          <w:color w:val="515151"/>
          <w:kern w:val="0"/>
          <w:szCs w:val="21"/>
        </w:rPr>
      </w:pPr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 xml:space="preserve">Derived </w:t>
      </w:r>
      <w:proofErr w:type="gramStart"/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>from :</w:t>
      </w:r>
      <w:proofErr w:type="gramEnd"/>
      <w:r w:rsidRPr="00F0057A">
        <w:rPr>
          <w:rFonts w:ascii="Calibri" w:eastAsia="宋体" w:hAnsi="Calibri" w:cs="Calibri"/>
          <w:b/>
          <w:bCs/>
          <w:color w:val="000000"/>
          <w:kern w:val="0"/>
          <w:szCs w:val="21"/>
        </w:rPr>
        <w:t> </w:t>
      </w:r>
      <w:r w:rsidRPr="00F0057A">
        <w:rPr>
          <w:rFonts w:ascii="Calibri" w:eastAsia="宋体" w:hAnsi="Calibri" w:cs="Calibri"/>
          <w:color w:val="000000"/>
          <w:kern w:val="0"/>
          <w:szCs w:val="21"/>
        </w:rPr>
        <w:t>Escherichia coli 055:B5</w:t>
      </w:r>
    </w:p>
    <w:p w14:paraId="1AD4A71B" w14:textId="4FD32B14" w:rsidR="009D0DB4" w:rsidRPr="00F0057A" w:rsidRDefault="009D0DB4" w:rsidP="00FF6FCA">
      <w:pPr>
        <w:autoSpaceDE w:val="0"/>
        <w:autoSpaceDN w:val="0"/>
        <w:adjustRightInd w:val="0"/>
        <w:spacing w:beforeLines="50" w:before="156"/>
        <w:jc w:val="left"/>
        <w:rPr>
          <w:rFonts w:eastAsia="Meiryo" w:cstheme="minorHAnsi"/>
          <w:b/>
          <w:bCs/>
          <w:color w:val="000000" w:themeColor="text1"/>
          <w:kern w:val="0"/>
          <w:szCs w:val="21"/>
        </w:rPr>
      </w:pPr>
      <w:r w:rsidRPr="00F0057A">
        <w:rPr>
          <w:rFonts w:eastAsia="Meiryo" w:cstheme="minorHAns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F0057A">
          <w:rPr>
            <w:rStyle w:val="ac"/>
            <w:rFonts w:eastAsia="Meiryo" w:cstheme="minorHAnsi"/>
            <w:b/>
            <w:bCs/>
            <w:color w:val="0070C0"/>
            <w:kern w:val="0"/>
            <w:szCs w:val="21"/>
          </w:rPr>
          <w:t>www.mesgenbio.com</w:t>
        </w:r>
      </w:hyperlink>
      <w:r w:rsidRPr="00F0057A">
        <w:rPr>
          <w:rFonts w:eastAsia="Meiryo" w:cstheme="minorHAnsi"/>
          <w:b/>
          <w:bCs/>
          <w:color w:val="0070C0"/>
          <w:kern w:val="0"/>
          <w:szCs w:val="21"/>
        </w:rPr>
        <w:t>.</w:t>
      </w:r>
      <w:r w:rsidRPr="00F0057A">
        <w:rPr>
          <w:rFonts w:eastAsia="Meiryo" w:cstheme="minorHAns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F0057A">
        <w:rPr>
          <w:rFonts w:eastAsia="Meiryo" w:cstheme="minorHAnsi"/>
          <w:b/>
          <w:bCs/>
          <w:color w:val="000000" w:themeColor="text1"/>
          <w:kern w:val="0"/>
          <w:szCs w:val="21"/>
        </w:rPr>
        <w:t>MesGen</w:t>
      </w:r>
      <w:proofErr w:type="spellEnd"/>
      <w:r w:rsidRPr="00F0057A">
        <w:rPr>
          <w:rFonts w:eastAsia="Meiryo" w:cstheme="minorHAns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F0057A">
          <w:rPr>
            <w:rStyle w:val="ac"/>
            <w:rFonts w:eastAsia="Meiryo" w:cstheme="minorHAnsi"/>
            <w:b/>
            <w:bCs/>
            <w:color w:val="0070C0"/>
            <w:kern w:val="0"/>
            <w:szCs w:val="21"/>
          </w:rPr>
          <w:t>tech@mesgenbio.com</w:t>
        </w:r>
      </w:hyperlink>
    </w:p>
    <w:p w14:paraId="4B3D36A2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eastAsia="Meiryo" w:cstheme="minorHAnsi"/>
          <w:color w:val="000000" w:themeColor="text1"/>
          <w:kern w:val="0"/>
          <w:szCs w:val="21"/>
        </w:rPr>
      </w:pPr>
    </w:p>
    <w:p w14:paraId="0665CB35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b/>
          <w:bCs/>
          <w:color w:val="000000" w:themeColor="text1"/>
          <w:kern w:val="0"/>
          <w:szCs w:val="21"/>
          <w:u w:val="single"/>
        </w:rPr>
      </w:pPr>
      <w:r w:rsidRPr="00F0057A">
        <w:rPr>
          <w:rFonts w:ascii="Calibri" w:eastAsia="Meiryo" w:hAnsi="Calibri" w:cs="Calibri"/>
          <w:b/>
          <w:bCs/>
          <w:color w:val="000000" w:themeColor="text1"/>
          <w:kern w:val="0"/>
          <w:szCs w:val="21"/>
          <w:u w:val="single"/>
        </w:rPr>
        <w:t>Application</w:t>
      </w:r>
    </w:p>
    <w:p w14:paraId="0A316861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color w:val="000000" w:themeColor="text1"/>
          <w:kern w:val="0"/>
          <w:szCs w:val="21"/>
        </w:rPr>
      </w:pPr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>An endotoxic O-antigen found of Gram-negative bacteria.</w:t>
      </w:r>
    </w:p>
    <w:p w14:paraId="247E0697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color w:val="000000" w:themeColor="text1"/>
          <w:kern w:val="0"/>
          <w:szCs w:val="21"/>
        </w:rPr>
      </w:pPr>
    </w:p>
    <w:p w14:paraId="11CF8EEC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b/>
          <w:bCs/>
          <w:color w:val="000000" w:themeColor="text1"/>
          <w:kern w:val="0"/>
          <w:szCs w:val="21"/>
          <w:u w:val="single"/>
        </w:rPr>
      </w:pPr>
      <w:r w:rsidRPr="00F0057A">
        <w:rPr>
          <w:rFonts w:ascii="Calibri" w:eastAsia="Meiryo" w:hAnsi="Calibri" w:cs="Calibri"/>
          <w:b/>
          <w:bCs/>
          <w:color w:val="000000" w:themeColor="text1"/>
          <w:kern w:val="0"/>
          <w:szCs w:val="21"/>
          <w:u w:val="single"/>
        </w:rPr>
        <w:t>Background</w:t>
      </w:r>
    </w:p>
    <w:p w14:paraId="62AAB2D2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color w:val="000000" w:themeColor="text1"/>
          <w:kern w:val="0"/>
          <w:szCs w:val="21"/>
        </w:rPr>
      </w:pPr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 xml:space="preserve">Lipopolysaccharides from Escherichia coli </w:t>
      </w:r>
      <w:proofErr w:type="gramStart"/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>055:B</w:t>
      </w:r>
      <w:proofErr w:type="gramEnd"/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 xml:space="preserve">5, is a characteristic component of the cell wall of Gram-negative bacteria. Lipopolysaccharides (LPS) and its lipid A moiety stimulate cells of the innate immune system via the Toll-like receptor 4 (TLR4). Lipopolysaccharides (LPS) are localized in the outer layer of the membrane and are, in </w:t>
      </w:r>
      <w:proofErr w:type="spellStart"/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>noncapsulated</w:t>
      </w:r>
      <w:proofErr w:type="spellEnd"/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 xml:space="preserve"> strains, exposed on the cell surface. They contribute to the integrity of the outer membrane, and protect the cell against the action of bile salts and lipophilic antibiotics.</w:t>
      </w:r>
    </w:p>
    <w:p w14:paraId="499B203E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color w:val="000000" w:themeColor="text1"/>
          <w:kern w:val="0"/>
          <w:szCs w:val="21"/>
        </w:rPr>
      </w:pPr>
    </w:p>
    <w:p w14:paraId="5F30D153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b/>
          <w:bCs/>
          <w:color w:val="000000" w:themeColor="text1"/>
          <w:kern w:val="0"/>
          <w:szCs w:val="21"/>
          <w:u w:val="single"/>
        </w:rPr>
      </w:pPr>
      <w:r w:rsidRPr="00F0057A">
        <w:rPr>
          <w:rFonts w:ascii="Calibri" w:eastAsia="Meiryo" w:hAnsi="Calibri" w:cs="Calibri"/>
          <w:b/>
          <w:bCs/>
          <w:color w:val="000000" w:themeColor="text1"/>
          <w:kern w:val="0"/>
          <w:szCs w:val="21"/>
          <w:u w:val="single"/>
        </w:rPr>
        <w:t>Solubility</w:t>
      </w:r>
    </w:p>
    <w:p w14:paraId="6EDB3F15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color w:val="000000" w:themeColor="text1"/>
          <w:kern w:val="0"/>
          <w:szCs w:val="21"/>
        </w:rPr>
      </w:pPr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 xml:space="preserve">Soluble in water (5 mg/mL) or cell culture medium (1 mg/mL) yielding a hazy, faint yellow solution, a more concentrated, though still hazy, solution (20 mg/ml) has been achieved in aqueous saline after </w:t>
      </w:r>
      <w:proofErr w:type="spellStart"/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>vortexing</w:t>
      </w:r>
      <w:proofErr w:type="spellEnd"/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 xml:space="preserve"> and warming to 70-80 °C, and 0.5% triethylamine (extremely soluble) and methanol yields a turbid suspension with floaters, while water yields a homogeneously hazy solution.</w:t>
      </w:r>
    </w:p>
    <w:p w14:paraId="6C0FF1FA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color w:val="000000" w:themeColor="text1"/>
          <w:kern w:val="0"/>
          <w:szCs w:val="21"/>
        </w:rPr>
      </w:pPr>
    </w:p>
    <w:p w14:paraId="3AC2ECA5" w14:textId="1F9160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b/>
          <w:bCs/>
          <w:color w:val="000000" w:themeColor="text1"/>
          <w:kern w:val="0"/>
          <w:szCs w:val="21"/>
          <w:u w:val="single"/>
        </w:rPr>
      </w:pPr>
      <w:r w:rsidRPr="00F0057A">
        <w:rPr>
          <w:rFonts w:ascii="Calibri" w:eastAsia="Meiryo" w:hAnsi="Calibri" w:cs="Calibri"/>
          <w:b/>
          <w:bCs/>
          <w:color w:val="000000" w:themeColor="text1"/>
          <w:kern w:val="0"/>
          <w:szCs w:val="21"/>
          <w:u w:val="single"/>
        </w:rPr>
        <w:t>Storage</w:t>
      </w:r>
      <w:r w:rsidRPr="00F0057A">
        <w:rPr>
          <w:rFonts w:ascii="Calibri" w:eastAsia="Meiryo" w:hAnsi="Calibri" w:cs="Calibri"/>
          <w:b/>
          <w:bCs/>
          <w:color w:val="000000" w:themeColor="text1"/>
          <w:kern w:val="0"/>
          <w:szCs w:val="21"/>
          <w:u w:val="single"/>
        </w:rPr>
        <w:t xml:space="preserve"> temperature</w:t>
      </w:r>
    </w:p>
    <w:p w14:paraId="62FD5446" w14:textId="77777777" w:rsidR="00F0057A" w:rsidRPr="00F0057A" w:rsidRDefault="00F0057A" w:rsidP="00F0057A">
      <w:pPr>
        <w:autoSpaceDE w:val="0"/>
        <w:autoSpaceDN w:val="0"/>
        <w:adjustRightInd w:val="0"/>
        <w:spacing w:line="320" w:lineRule="exact"/>
        <w:rPr>
          <w:rFonts w:ascii="Calibri" w:eastAsia="Meiryo" w:hAnsi="Calibri" w:cs="Calibri"/>
          <w:color w:val="000000" w:themeColor="text1"/>
          <w:kern w:val="0"/>
          <w:szCs w:val="21"/>
        </w:rPr>
      </w:pPr>
      <w:r w:rsidRPr="00F0057A">
        <w:rPr>
          <w:rFonts w:ascii="Calibri" w:eastAsia="Meiryo" w:hAnsi="Calibri" w:cs="Calibri"/>
          <w:color w:val="000000" w:themeColor="text1"/>
          <w:kern w:val="0"/>
          <w:szCs w:val="21"/>
        </w:rPr>
        <w:t>2-8° C</w:t>
      </w:r>
    </w:p>
    <w:p w14:paraId="101B7588" w14:textId="77777777" w:rsidR="005601E5" w:rsidRDefault="005601E5" w:rsidP="005601E5">
      <w:pPr>
        <w:autoSpaceDE w:val="0"/>
        <w:autoSpaceDN w:val="0"/>
        <w:adjustRightInd w:val="0"/>
        <w:spacing w:line="320" w:lineRule="exact"/>
        <w:jc w:val="left"/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</w:pPr>
    </w:p>
    <w:p w14:paraId="2B96F592" w14:textId="31A7DECF" w:rsidR="00F0057A" w:rsidRPr="005601E5" w:rsidRDefault="005601E5" w:rsidP="005601E5">
      <w:pPr>
        <w:autoSpaceDE w:val="0"/>
        <w:autoSpaceDN w:val="0"/>
        <w:adjustRightInd w:val="0"/>
        <w:spacing w:line="320" w:lineRule="exact"/>
        <w:jc w:val="center"/>
        <w:rPr>
          <w:rFonts w:cstheme="minorHAnsi" w:hint="eastAsia"/>
          <w:b/>
          <w:bCs/>
          <w:color w:val="000000" w:themeColor="text1"/>
          <w:kern w:val="0"/>
          <w:sz w:val="18"/>
          <w:szCs w:val="18"/>
        </w:rPr>
      </w:pPr>
      <w:r w:rsidRPr="005601E5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For Research Use Only. Not </w:t>
      </w:r>
      <w:proofErr w:type="gramStart"/>
      <w:r w:rsidRPr="005601E5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>For</w:t>
      </w:r>
      <w:proofErr w:type="gramEnd"/>
      <w:r w:rsidRPr="005601E5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 Use In Diagnostic Procedures.</w:t>
      </w:r>
    </w:p>
    <w:p w14:paraId="46DF66D8" w14:textId="1AF01BD1" w:rsidR="007802E7" w:rsidRDefault="007802E7" w:rsidP="00253DEA">
      <w:pPr>
        <w:autoSpaceDE w:val="0"/>
        <w:autoSpaceDN w:val="0"/>
        <w:adjustRightInd w:val="0"/>
        <w:spacing w:line="320" w:lineRule="exact"/>
        <w:rPr>
          <w:rFonts w:eastAsia="Meiryo" w:cstheme="minorHAnsi"/>
          <w:color w:val="000000" w:themeColor="text1"/>
          <w:kern w:val="0"/>
          <w:szCs w:val="21"/>
        </w:rPr>
      </w:pPr>
    </w:p>
    <w:p w14:paraId="3A56FAB8" w14:textId="0867EEA1" w:rsidR="00F0057A" w:rsidRDefault="005601E5" w:rsidP="00F0057A">
      <w:pPr>
        <w:widowControl/>
        <w:shd w:val="clear" w:color="auto" w:fill="FFFFFF"/>
        <w:jc w:val="left"/>
        <w:rPr>
          <w:rFonts w:ascii="Helvetica" w:eastAsia="宋体" w:hAnsi="Helvetica" w:cs="宋体"/>
          <w:b/>
          <w:bCs/>
          <w:color w:val="333333"/>
          <w:kern w:val="0"/>
          <w:sz w:val="23"/>
          <w:szCs w:val="23"/>
        </w:rPr>
      </w:pPr>
      <w:r w:rsidRPr="00F0057A">
        <w:rPr>
          <w:rFonts w:ascii="Calibri" w:hAnsi="Calibri" w:cs="Calibri"/>
          <w:b/>
          <w:bCs/>
          <w:noProof/>
          <w:color w:val="000000" w:themeColor="text1"/>
          <w:kern w:val="0"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717759E5" wp14:editId="19CAAC91">
            <wp:simplePos x="0" y="0"/>
            <wp:positionH relativeFrom="column">
              <wp:posOffset>2647950</wp:posOffset>
            </wp:positionH>
            <wp:positionV relativeFrom="paragraph">
              <wp:posOffset>151130</wp:posOffset>
            </wp:positionV>
            <wp:extent cx="628650" cy="6286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F3383" w14:textId="4EBA6151" w:rsidR="00F0057A" w:rsidRDefault="00F0057A" w:rsidP="00F0057A">
      <w:pPr>
        <w:widowControl/>
        <w:shd w:val="clear" w:color="auto" w:fill="FFFFFF"/>
        <w:jc w:val="left"/>
        <w:rPr>
          <w:rFonts w:ascii="Helvetica" w:eastAsia="宋体" w:hAnsi="Helvetica" w:cs="宋体"/>
          <w:b/>
          <w:bCs/>
          <w:color w:val="333333"/>
          <w:kern w:val="0"/>
          <w:sz w:val="23"/>
          <w:szCs w:val="23"/>
        </w:rPr>
      </w:pPr>
    </w:p>
    <w:p w14:paraId="5F34426E" w14:textId="77777777" w:rsidR="005601E5" w:rsidRDefault="005601E5" w:rsidP="00F0057A">
      <w:pPr>
        <w:widowControl/>
        <w:shd w:val="clear" w:color="auto" w:fill="FFFFFF"/>
        <w:jc w:val="left"/>
        <w:rPr>
          <w:rFonts w:ascii="Helvetica" w:eastAsia="宋体" w:hAnsi="Helvetica" w:cs="宋体" w:hint="eastAsia"/>
          <w:b/>
          <w:bCs/>
          <w:color w:val="333333"/>
          <w:kern w:val="0"/>
          <w:sz w:val="23"/>
          <w:szCs w:val="23"/>
        </w:rPr>
      </w:pPr>
    </w:p>
    <w:p w14:paraId="6E1D59A3" w14:textId="6770F314" w:rsidR="00F0057A" w:rsidRDefault="00F0057A" w:rsidP="00F0057A">
      <w:pPr>
        <w:autoSpaceDE w:val="0"/>
        <w:autoSpaceDN w:val="0"/>
        <w:adjustRightInd w:val="0"/>
        <w:spacing w:line="280" w:lineRule="exact"/>
        <w:rPr>
          <w:rFonts w:eastAsia="Meiryo" w:cstheme="minorHAnsi"/>
          <w:color w:val="000000" w:themeColor="text1"/>
          <w:kern w:val="0"/>
          <w:szCs w:val="21"/>
        </w:rPr>
      </w:pPr>
      <w:r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 xml:space="preserve">Do not eat       </w:t>
      </w:r>
      <w:r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 xml:space="preserve">       </w:t>
      </w:r>
      <w:r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 xml:space="preserve"> S</w:t>
      </w:r>
      <w:r w:rsidRPr="009D0DB4"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>tore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 xml:space="preserve"> at </w:t>
      </w:r>
      <w:r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+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2</w:t>
      </w:r>
      <w:r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 xml:space="preserve"> to +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8° C</w:t>
      </w:r>
    </w:p>
    <w:p w14:paraId="1B648514" w14:textId="6B5F2F60" w:rsidR="00F0057A" w:rsidRPr="00F0057A" w:rsidRDefault="00F0057A" w:rsidP="005601E5">
      <w:pPr>
        <w:widowControl/>
        <w:shd w:val="clear" w:color="auto" w:fill="FFFFFF"/>
        <w:spacing w:beforeLines="50" w:before="156"/>
        <w:jc w:val="left"/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</w:pPr>
      <w:r w:rsidRPr="00F0057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中文</w:t>
      </w:r>
      <w:r w:rsidRPr="00F0057A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>简介</w:t>
      </w:r>
    </w:p>
    <w:p w14:paraId="692D8745" w14:textId="4C83781C" w:rsidR="005601E5" w:rsidRDefault="00F0057A" w:rsidP="00F0057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脂多糖，英文名称Lipopolysaccharides，简称LPS，是革兰氏阴性细菌细胞壁中的一种特有成分，位于细胞壁的最外层并暴露于非荚膜细菌的细胞表面，有利于维持细胞外膜的完整性，保护细菌免受胆汁盐和脂类抗生素的破坏。结构上，脂多糖由类脂A、核心多糖和O-多糖侧链组成。其中类脂质A是构成细菌内毒素的主要成分，决定其毒性强弱；而O-多糖侧链在不同细菌间是高度变化的，特异性决定细菌的血清型。LPS可以引起免疫刺激的级联反应和机体的毒性病理生理活动，包括释放内毒素引起感染性休克从而导致末梢血管虚脱。正是LPS与机体免疫机能的密切关系，生命科学研究常常提取LPS进行相关的研究，如阐明LPS的结构，代谢，免疫学，生理学，毒性，生物合成途径；诱导生长促进因子如白介素的合成与分泌；诱导疾病研究的动物模型如炎症反应，急性肺损伤。</w:t>
      </w:r>
    </w:p>
    <w:p w14:paraId="37AB5E98" w14:textId="668DCE3A" w:rsidR="00F0057A" w:rsidRPr="00F0057A" w:rsidRDefault="00F0057A" w:rsidP="005601E5">
      <w:pPr>
        <w:widowControl/>
        <w:shd w:val="clear" w:color="auto" w:fill="FFFFFF"/>
        <w:spacing w:beforeLines="50" w:before="156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本品来源于血清型大肠杆菌O55:B5，</w:t>
      </w:r>
      <w:proofErr w:type="gramStart"/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用苯法提取</w:t>
      </w:r>
      <w:proofErr w:type="gramEnd"/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而得。其内毒素水平不少于500,000 EU (endotoxin units)/mg，经分析，1ng相当于0.5EU（</w:t>
      </w:r>
      <w:proofErr w:type="gramStart"/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鲎</w:t>
      </w:r>
      <w:proofErr w:type="gramEnd"/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试剂法）和10EU（显色法）。LPS O55:B5可用于刺激人腹腔巨噬细胞（1ng/ml）以及马腹腔巨噬细胞的活动（1-100ng/ml）。</w:t>
      </w:r>
    </w:p>
    <w:p w14:paraId="238D53AD" w14:textId="77777777" w:rsidR="005601E5" w:rsidRPr="005601E5" w:rsidRDefault="00F0057A" w:rsidP="00F0057A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</w:pPr>
      <w:r w:rsidRPr="00F0057A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>溶解性</w:t>
      </w:r>
    </w:p>
    <w:p w14:paraId="197B02EC" w14:textId="5BB2BB61" w:rsidR="00F0057A" w:rsidRPr="00F0057A" w:rsidRDefault="00F0057A" w:rsidP="00F0057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水(10mg/ml)或细胞培养基(1mg/ml)，产生浑浊淡黄色溶液，溶于盐溶液经旋涡振荡并加热到70-80</w:t>
      </w:r>
      <w:r w:rsidRPr="00F0057A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>℃</w:t>
      </w: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可得到一种浓度更高</w:t>
      </w:r>
      <w:r w:rsidR="005601E5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>的</w:t>
      </w: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溶液（20mg/ml）。</w:t>
      </w:r>
    </w:p>
    <w:p w14:paraId="1F2BD374" w14:textId="4146BAA3" w:rsidR="00F0057A" w:rsidRPr="00F0057A" w:rsidRDefault="00F0057A" w:rsidP="00F0057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</w:pPr>
      <w:r w:rsidRPr="00F0057A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>使用方法</w:t>
      </w:r>
    </w:p>
    <w:p w14:paraId="6F5BDA10" w14:textId="07B8DBAB" w:rsidR="00F0057A" w:rsidRPr="00F0057A" w:rsidRDefault="00F0057A" w:rsidP="005601E5">
      <w:pPr>
        <w:widowControl/>
        <w:shd w:val="clear" w:color="auto" w:fill="FFFFFF"/>
        <w:ind w:left="180" w:hangingChars="100" w:hanging="180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1. LPS粉末是非无菌的，用于细胞培养相关实验需要过滤除菌，LPS储存液的配置：将1mg LPS重悬于1ml无菌平衡盐溶液或细胞培养基，轻轻旋涡振荡直至粉末完全溶解，即得到1mg/ml的储存液。此储存液可用无菌</w:t>
      </w:r>
      <w:proofErr w:type="gramStart"/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平衡盐</w:t>
      </w:r>
      <w:proofErr w:type="gramEnd"/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或细胞培养基稀释至需要的工作浓度。</w:t>
      </w:r>
    </w:p>
    <w:p w14:paraId="31C9783F" w14:textId="3B7CE0A5" w:rsidR="00F0057A" w:rsidRPr="00F0057A" w:rsidRDefault="00F0057A" w:rsidP="005601E5">
      <w:pPr>
        <w:widowControl/>
        <w:shd w:val="clear" w:color="auto" w:fill="FFFFFF"/>
        <w:ind w:left="270" w:hangingChars="150" w:hanging="270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2. 储存液保存：储存液（1mg/ml）可在4</w:t>
      </w:r>
      <w:r w:rsidRPr="00F0057A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>℃</w:t>
      </w: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保存，约</w:t>
      </w:r>
      <w:r w:rsidR="005601E5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>1</w:t>
      </w: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个月稳定；也可分装成单次用量后放到-20</w:t>
      </w:r>
      <w:r w:rsidRPr="00F0057A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>℃</w:t>
      </w:r>
      <w:r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，2年稳定。避免反复冻融。</w:t>
      </w:r>
    </w:p>
    <w:p w14:paraId="3239ED81" w14:textId="77777777" w:rsidR="005601E5" w:rsidRPr="005601E5" w:rsidRDefault="00F0057A" w:rsidP="00F0057A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</w:pPr>
      <w:r w:rsidRPr="00F0057A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>注意</w:t>
      </w:r>
      <w:r w:rsidR="005601E5" w:rsidRPr="005601E5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事项</w:t>
      </w:r>
    </w:p>
    <w:p w14:paraId="3F692F42" w14:textId="7803BBB5" w:rsidR="005601E5" w:rsidRDefault="005601E5" w:rsidP="005601E5">
      <w:pPr>
        <w:widowControl/>
        <w:shd w:val="clear" w:color="auto" w:fill="FFFFFF"/>
        <w:ind w:left="270" w:hangingChars="150" w:hanging="270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 xml:space="preserve">1. </w:t>
      </w:r>
      <w:r w:rsidR="00F0057A"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LPS溶液应储存于硅烷化容器内，因为LPS可吸附于塑料或某些玻璃器皿，尤其当其浓度＜0.1mg/ml时。但当LPS浓度大于1mg/ml时，上述吸附则可忽略不计。</w:t>
      </w:r>
    </w:p>
    <w:p w14:paraId="634F031A" w14:textId="54559CD8" w:rsidR="00D43E94" w:rsidRDefault="005601E5" w:rsidP="005601E5">
      <w:pPr>
        <w:widowControl/>
        <w:shd w:val="clear" w:color="auto" w:fill="FFFFFF"/>
        <w:ind w:left="270" w:hangingChars="150" w:hanging="270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 xml:space="preserve">2. </w:t>
      </w:r>
      <w:r w:rsidR="00F0057A"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如使用玻璃器皿，则需旋涡振荡LPS溶液至少30min，以</w:t>
      </w:r>
      <w:proofErr w:type="gramStart"/>
      <w:r w:rsidR="00F0057A"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重溶被</w:t>
      </w:r>
      <w:proofErr w:type="gramEnd"/>
      <w:r w:rsidR="00F0057A" w:rsidRPr="00F0057A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吸附溶质。</w:t>
      </w:r>
    </w:p>
    <w:p w14:paraId="736EFE15" w14:textId="0D5667D6" w:rsidR="005601E5" w:rsidRPr="005601E5" w:rsidRDefault="005601E5" w:rsidP="005601E5">
      <w:pPr>
        <w:widowControl/>
        <w:shd w:val="clear" w:color="auto" w:fill="FFFFFF"/>
        <w:spacing w:beforeLines="50" w:before="156"/>
        <w:jc w:val="center"/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</w:pPr>
      <w:r w:rsidRPr="005601E5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产品仅供科学研究 禁止用于临床诊断</w:t>
      </w:r>
    </w:p>
    <w:sectPr w:rsidR="005601E5" w:rsidRPr="005601E5" w:rsidSect="009D0DB4">
      <w:footerReference w:type="default" r:id="rId10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3E26E" w14:textId="77777777" w:rsidR="00FC1ACD" w:rsidRDefault="00FC1ACD" w:rsidP="0065435B">
      <w:r>
        <w:separator/>
      </w:r>
    </w:p>
  </w:endnote>
  <w:endnote w:type="continuationSeparator" w:id="0">
    <w:p w14:paraId="7854E250" w14:textId="77777777" w:rsidR="00FC1ACD" w:rsidRDefault="00FC1ACD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B248" w14:textId="77777777" w:rsidR="00FC1ACD" w:rsidRDefault="00FC1ACD" w:rsidP="0065435B">
      <w:r>
        <w:separator/>
      </w:r>
    </w:p>
  </w:footnote>
  <w:footnote w:type="continuationSeparator" w:id="0">
    <w:p w14:paraId="6E4565D5" w14:textId="77777777" w:rsidR="00FC1ACD" w:rsidRDefault="00FC1ACD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4083"/>
    <w:rsid w:val="00475678"/>
    <w:rsid w:val="0049205D"/>
    <w:rsid w:val="004A1338"/>
    <w:rsid w:val="004D158E"/>
    <w:rsid w:val="00523F89"/>
    <w:rsid w:val="00552AD6"/>
    <w:rsid w:val="005601E5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25D30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0057A"/>
    <w:rsid w:val="00F205CE"/>
    <w:rsid w:val="00F944FB"/>
    <w:rsid w:val="00FC1ACD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F00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35</cp:revision>
  <cp:lastPrinted>2021-02-03T05:15:00Z</cp:lastPrinted>
  <dcterms:created xsi:type="dcterms:W3CDTF">2014-09-10T07:38:00Z</dcterms:created>
  <dcterms:modified xsi:type="dcterms:W3CDTF">2021-02-03T05:16:00Z</dcterms:modified>
</cp:coreProperties>
</file>